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8-k.htm"/>
      <w:bookmarkStart w:id="1" w:name="ksform8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240" w:right="324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5240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9052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B_edei--EntityRegistrantName_c2026"/>
      <w:bookmarkEnd w:id="4"/>
      <w:r>
        <w:rPr>
          <w:rFonts w:ascii="Times New Roman;Times;Serif" w:hAnsi="Times New Roman;Times;Serif"/>
          <w:b/>
          <w:i w:val="false"/>
          <w:caps w:val="false"/>
          <w:smallCaps w:val="false"/>
          <w:sz w:val="24"/>
        </w:rPr>
        <w:t>Illumina,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3_edei--EntityFileNumber_c20260813"/>
      <w:bookmarkEnd w:id="5"/>
      <w:r>
        <w:rPr>
          <w:rFonts w:ascii="Times New Roman;Times;Serif" w:hAnsi="Times New Roman;Times;Serif"/>
          <w:b/>
          <w:i w:val="false"/>
          <w:caps w:val="false"/>
          <w:smallCaps w:val="false"/>
          <w:sz w:val="20"/>
        </w:rPr>
        <w:t>001-35406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3770"/>
        <w:gridCol w:w="3020"/>
      </w:tblGrid>
      <w:tr>
        <w:trPr/>
        <w:tc>
          <w:tcPr>
            <w:tcW w:w="37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6_edei--EntityIncorporationStateCo"/>
            <w:bookmarkEnd w:id="6"/>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tc>
        <w:tc>
          <w:tcPr>
            <w:tcW w:w="30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33-0804655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r>
        <w:trPr/>
        <w:tc>
          <w:tcPr>
            <w:tcW w:w="3770" w:type="dxa"/>
            <w:tcBorders/>
            <w:vAlign w:val="center"/>
          </w:tcPr>
          <w:p>
            <w:pPr>
              <w:pStyle w:val="TableContents"/>
              <w:bidi w:val="0"/>
              <w:spacing w:before="0" w:after="283"/>
              <w:jc w:val="center"/>
              <w:rPr/>
            </w:pPr>
            <w:r>
              <w:rPr/>
              <w:t> </w:t>
            </w:r>
          </w:p>
        </w:tc>
        <w:tc>
          <w:tcPr>
            <w:tcW w:w="3020" w:type="dxa"/>
            <w:tcBorders/>
            <w:vAlign w:val="center"/>
          </w:tcPr>
          <w:p>
            <w:pPr>
              <w:pStyle w:val="TableContents"/>
              <w:bidi w:val="0"/>
              <w:spacing w:before="0" w:after="283"/>
              <w:jc w:val="center"/>
              <w:rPr/>
            </w:pPr>
            <w:r>
              <w:rPr/>
              <w:t> </w:t>
            </w:r>
          </w:p>
        </w:tc>
      </w:tr>
      <w:tr>
        <w:trPr/>
        <w:tc>
          <w:tcPr>
            <w:tcW w:w="679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5200 Illumina Way, </w:t>
            </w:r>
            <w:bookmarkStart w:id="9" w:name="xdx_900_edei--EntityAddressCityOrTown_c2"/>
            <w:bookmarkEnd w:id="9"/>
            <w:r>
              <w:rPr>
                <w:rFonts w:ascii="Times New Roman;Times;Serif" w:hAnsi="Times New Roman;Times;Serif"/>
                <w:b/>
                <w:i w:val="false"/>
                <w:caps w:val="false"/>
                <w:smallCaps w:val="false"/>
                <w:sz w:val="20"/>
              </w:rPr>
              <w:t xml:space="preserve">San Diego, </w:t>
            </w:r>
            <w:bookmarkStart w:id="10" w:name="xdx_90D_edei--EntityAddressStateOrProvin"/>
            <w:bookmarkEnd w:id="10"/>
            <w:r>
              <w:rPr>
                <w:rFonts w:ascii="Times New Roman;Times;Serif" w:hAnsi="Times New Roman;Times;Serif"/>
                <w:b/>
                <w:i w:val="false"/>
                <w:caps w:val="false"/>
                <w:smallCaps w:val="false"/>
                <w:sz w:val="20"/>
              </w:rPr>
              <w:t xml:space="preserve">CA </w:t>
            </w:r>
            <w:bookmarkStart w:id="11" w:name="xdx_90D_edei--EntityAddressPostalZipCode"/>
            <w:bookmarkEnd w:id="11"/>
            <w:r>
              <w:rPr>
                <w:rFonts w:ascii="Times New Roman;Times;Serif" w:hAnsi="Times New Roman;Times;Serif"/>
                <w:b/>
                <w:i w:val="false"/>
                <w:caps w:val="false"/>
                <w:smallCaps w:val="false"/>
                <w:sz w:val="20"/>
              </w:rPr>
              <w:t>92122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8_edei--CityAreaCode_c20260813__20"/>
            <w:bookmarkEnd w:id="12"/>
            <w:r>
              <w:rPr>
                <w:rFonts w:ascii="Times New Roman;Times;Serif" w:hAnsi="Times New Roman;Times;Serif"/>
                <w:b/>
                <w:i w:val="false"/>
                <w:caps w:val="false"/>
                <w:smallCaps w:val="false"/>
                <w:sz w:val="20"/>
              </w:rPr>
              <w:t xml:space="preserve">858) </w:t>
            </w:r>
            <w:bookmarkStart w:id="13" w:name="xdx_904_edei--LocalPhoneNumber_c20260813"/>
            <w:bookmarkEnd w:id="13"/>
            <w:r>
              <w:rPr>
                <w:rFonts w:ascii="Times New Roman;Times;Serif" w:hAnsi="Times New Roman;Times;Serif"/>
                <w:b/>
                <w:i w:val="false"/>
                <w:caps w:val="false"/>
                <w:smallCaps w:val="false"/>
                <w:sz w:val="20"/>
              </w:rPr>
              <w:t>202-4500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F_edei--SolicitingMaterial_c202608"/>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180" w:type="dxa"/>
        <w:jc w:val="left"/>
        <w:tblInd w:w="0" w:type="dxa"/>
        <w:tblLayout w:type="fixed"/>
        <w:tblCellMar>
          <w:top w:w="0" w:type="dxa"/>
          <w:left w:w="0" w:type="dxa"/>
          <w:bottom w:w="28" w:type="dxa"/>
          <w:right w:w="0" w:type="dxa"/>
        </w:tblCellMar>
      </w:tblPr>
      <w:tblGrid>
        <w:gridCol w:w="2645"/>
        <w:gridCol w:w="60"/>
        <w:gridCol w:w="860"/>
        <w:gridCol w:w="60"/>
        <w:gridCol w:w="2555"/>
      </w:tblGrid>
      <w:tr>
        <w:trPr/>
        <w:tc>
          <w:tcPr>
            <w:tcW w:w="264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center"/>
              <w:rPr/>
            </w:pPr>
            <w:r>
              <w:rPr/>
              <w:t> </w:t>
            </w:r>
          </w:p>
        </w:tc>
        <w:tc>
          <w:tcPr>
            <w:tcW w:w="25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which registered</w:t>
            </w:r>
          </w:p>
        </w:tc>
      </w:tr>
      <w:tr>
        <w:trPr/>
        <w:tc>
          <w:tcPr>
            <w:tcW w:w="2645" w:type="dxa"/>
            <w:tcBorders/>
            <w:tcMar>
              <w:bottom w:w="0" w:type="dxa"/>
            </w:tcMar>
            <w:vAlign w:val="center"/>
          </w:tcPr>
          <w:p>
            <w:pPr>
              <w:pStyle w:val="TableContents"/>
              <w:bidi w:val="0"/>
              <w:spacing w:before="0" w:after="283"/>
              <w:jc w:val="center"/>
              <w:rPr>
                <w:sz w:val="20"/>
              </w:rPr>
            </w:pPr>
            <w:bookmarkStart w:id="18" w:name="xdx_90A_edei--Security12bTitle_c20260813"/>
            <w:bookmarkEnd w:id="18"/>
            <w:r>
              <w:rPr>
                <w:sz w:val="20"/>
              </w:rPr>
              <w:t>Common Stock, $0.01 par value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sz w:val="20"/>
              </w:rPr>
            </w:pPr>
            <w:bookmarkStart w:id="19" w:name="xdx_907_edei--TradingSymbol_c20260813__2"/>
            <w:bookmarkEnd w:id="19"/>
            <w:r>
              <w:rPr>
                <w:sz w:val="20"/>
              </w:rPr>
              <w:t>ILMN</w:t>
            </w:r>
          </w:p>
        </w:tc>
        <w:tc>
          <w:tcPr>
            <w:tcW w:w="60" w:type="dxa"/>
            <w:tcBorders/>
            <w:tcMar>
              <w:bottom w:w="0" w:type="dxa"/>
            </w:tcMar>
            <w:vAlign w:val="center"/>
          </w:tcPr>
          <w:p>
            <w:pPr>
              <w:pStyle w:val="TableContents"/>
              <w:bidi w:val="0"/>
              <w:spacing w:before="0" w:after="283"/>
              <w:jc w:val="center"/>
              <w:rPr/>
            </w:pPr>
            <w:r>
              <w:rPr/>
              <w:t> </w:t>
            </w:r>
          </w:p>
        </w:tc>
        <w:tc>
          <w:tcPr>
            <w:tcW w:w="2555" w:type="dxa"/>
            <w:tcBorders/>
            <w:tcMar>
              <w:bottom w:w="0" w:type="dxa"/>
            </w:tcMar>
            <w:vAlign w:val="center"/>
          </w:tcPr>
          <w:p>
            <w:pPr>
              <w:pStyle w:val="TableContents"/>
              <w:bidi w:val="0"/>
              <w:spacing w:before="0" w:after="283"/>
              <w:jc w:val="center"/>
              <w:rPr>
                <w:sz w:val="20"/>
              </w:rPr>
            </w:pPr>
            <w:bookmarkStart w:id="20" w:name="xdx_904_edei--SecurityExchangeName_c2026"/>
            <w:bookmarkEnd w:id="20"/>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283"/>
              <w:jc w:val="left"/>
              <w:rPr>
                <w:b/>
                <w:sz w:val="20"/>
              </w:rPr>
            </w:pPr>
            <w:r>
              <w:rPr>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Entry into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Illumina, Inc. (“Illumina” or the “Company”) entered into a credit agreement (the “Credit Agreement”) among the Company, as the borrower, the lenders from time to time party thereto, Bank of America, N.A., as administrative agent, an issuing bank and the swingline lender, and the other issuing banks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provides for a $1,000 million senior unsecured five-year revolving credit facility (with a $50 million sublimit for swingline borrowings and a $75 million sublimit for letters of credit) (the “Credit Facility”). Any loans under the Credit Facility will have a variable interest rate based on either the term secured overnight financing rate or the alternate base rate, plus an applicable rate that varies with the Company’s debt rating. The Credit Agreement includes an option for the Company to elect to increase the commitments under the Credit Facility or to enter into one or more tranches of term loans in the aggregate principal amount of up to $500 million, subject to the consent of the lenders providing the additional commitments or term loans, as applicable, and certain other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loans under the Credit Facility may be used to finance the working capital needs, and for general corporate or other lawful purposes, of Illumina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financial and operating covenants. The financial covenant provides for a maximum total leverage ratio. Operating covenants include, among other things, limitations on (i) the incurrence of indebtedness by the Company’s subsidiaries, (ii) liens on assets of the Company and its subsidiaries and (iii) certain fundamental changes and the disposition of assets by the Company and its subsidiaries. The Credit Agreement contains other customary covenants, representations and warranties, and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matures, and all amounts outstanding thereunder will become due and payable in full, on August 13, 2031, subject to three one-year extensions at the option of the Company, the consent of the extending lenders and certain other conditions. Amounts borrowed under the Credit Facility may be prepaid, and the commitments under the Credit Facility may be terminated by the Company, at any time without premium or penalty. As of the date of this report, no borrowings were outstanding under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commitments under the Credit Agreement replace, in their entirety, the commitments under the Credit Agreement dated as of January 4, 2023 (as amended, restated, amended and restated, supplemented or otherwise modified from time to time, the “Existing Credit Agreement”), among the Company, as the borrower, the lenders party thereto, Bank of America, N.A., as administrative agent, an issuing bank and the swingline lender, and the other issuing banks party thereto. The Existing Credit Agreement and the commitments thereunder were terminated as of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Credit Agreement is qualified in its entirety by the full text of the Credit Agreement, which is attached as Exhibit 10.1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875"/>
        <w:gridCol w:w="4160"/>
      </w:tblGrid>
      <w:tr>
        <w:trPr/>
        <w:tc>
          <w:tcPr>
            <w:tcW w:w="875" w:type="dxa"/>
            <w:tcBorders/>
            <w:vAlign w:val="center"/>
          </w:tcPr>
          <w:p>
            <w:pPr>
              <w:pStyle w:val="TableContents"/>
              <w:bidi w:val="0"/>
              <w:spacing w:before="0" w:after="283"/>
              <w:jc w:val="left"/>
              <w:rPr>
                <w:b/>
                <w:sz w:val="20"/>
              </w:rPr>
            </w:pPr>
            <w:r>
              <w:rPr>
                <w:b/>
                <w:sz w:val="20"/>
              </w:rPr>
              <w:t>Item 1.02.</w:t>
            </w:r>
          </w:p>
        </w:tc>
        <w:tc>
          <w:tcPr>
            <w:tcW w:w="4160" w:type="dxa"/>
            <w:tcBorders/>
            <w:vAlign w:val="center"/>
          </w:tcPr>
          <w:p>
            <w:pPr>
              <w:pStyle w:val="TableContents"/>
              <w:bidi w:val="0"/>
              <w:spacing w:before="0" w:after="283"/>
              <w:jc w:val="left"/>
              <w:rPr>
                <w:b/>
                <w:sz w:val="20"/>
              </w:rPr>
            </w:pPr>
            <w:r>
              <w:rPr>
                <w:b/>
                <w:sz w:val="20"/>
              </w:rPr>
              <w:t>Termination of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with respect to the Credit Agreement and the Existing Credit Agreement is hereby incorporated by reference into this Item 1.02 insofar as it relates to the termination of a material definitive agreement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8"/>
        <w:gridCol w:w="9357"/>
      </w:tblGrid>
      <w:tr>
        <w:trPr/>
        <w:tc>
          <w:tcPr>
            <w:tcW w:w="848" w:type="dxa"/>
            <w:tcBorders/>
            <w:vAlign w:val="center"/>
          </w:tcPr>
          <w:p>
            <w:pPr>
              <w:pStyle w:val="TableContents"/>
              <w:bidi w:val="0"/>
              <w:spacing w:before="0" w:after="283"/>
              <w:jc w:val="left"/>
              <w:rPr>
                <w:b/>
                <w:sz w:val="20"/>
              </w:rPr>
            </w:pPr>
            <w:r>
              <w:rPr>
                <w:b/>
                <w:sz w:val="20"/>
              </w:rPr>
              <w:t>Item 2.03.</w:t>
            </w:r>
          </w:p>
        </w:tc>
        <w:tc>
          <w:tcPr>
            <w:tcW w:w="9357" w:type="dxa"/>
            <w:tcBorders/>
            <w:vAlign w:val="center"/>
          </w:tcPr>
          <w:p>
            <w:pPr>
              <w:pStyle w:val="TableContents"/>
              <w:bidi w:val="0"/>
              <w:spacing w:before="0" w:after="283"/>
              <w:jc w:val="left"/>
              <w:rPr>
                <w:b/>
                <w:sz w:val="20"/>
              </w:rPr>
            </w:pPr>
            <w:r>
              <w:rPr>
                <w:b/>
                <w:sz w:val="20"/>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Entry into a Material Definitive Agreement”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875"/>
        <w:gridCol w:w="785"/>
      </w:tblGrid>
      <w:tr>
        <w:trPr/>
        <w:tc>
          <w:tcPr>
            <w:tcW w:w="875" w:type="dxa"/>
            <w:tcBorders/>
            <w:vAlign w:val="center"/>
          </w:tcPr>
          <w:p>
            <w:pPr>
              <w:pStyle w:val="TableContents"/>
              <w:bidi w:val="0"/>
              <w:spacing w:before="0" w:after="283"/>
              <w:jc w:val="left"/>
              <w:rPr>
                <w:b/>
                <w:sz w:val="20"/>
              </w:rPr>
            </w:pPr>
            <w:r>
              <w:rPr>
                <w:b/>
                <w:sz w:val="20"/>
              </w:rPr>
              <w:t>Item 9.01.</w:t>
            </w:r>
          </w:p>
        </w:tc>
        <w:tc>
          <w:tcPr>
            <w:tcW w:w="785" w:type="dxa"/>
            <w:tcBorders/>
            <w:vAlign w:val="center"/>
          </w:tcPr>
          <w:p>
            <w:pPr>
              <w:pStyle w:val="TableContents"/>
              <w:bidi w:val="0"/>
              <w:spacing w:before="0" w:after="283"/>
              <w:jc w:val="left"/>
              <w:rPr>
                <w:b/>
                <w:sz w:val="20"/>
              </w:rPr>
            </w:pPr>
            <w:r>
              <w:rPr>
                <w:b/>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7"/>
        <w:gridCol w:w="60"/>
        <w:gridCol w:w="9218"/>
      </w:tblGrid>
      <w:tr>
        <w:trPr/>
        <w:tc>
          <w:tcPr>
            <w:tcW w:w="927" w:type="dxa"/>
            <w:tcBorders>
              <w:bottom w:val="single" w:sz="8" w:space="0" w:color="000000"/>
            </w:tcBorders>
            <w:vAlign w:val="center"/>
          </w:tcPr>
          <w:p>
            <w:pPr>
              <w:pStyle w:val="TableContents"/>
              <w:bidi w:val="0"/>
              <w:spacing w:before="0" w:after="283"/>
              <w:jc w:val="left"/>
              <w:rPr>
                <w:sz w:val="20"/>
              </w:rPr>
            </w:pPr>
            <w:r>
              <w:rPr>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9218" w:type="dxa"/>
            <w:tcBorders>
              <w:bottom w:val="single" w:sz="8" w:space="0" w:color="000000"/>
            </w:tcBorders>
            <w:vAlign w:val="center"/>
          </w:tcPr>
          <w:p>
            <w:pPr>
              <w:pStyle w:val="TableContents"/>
              <w:bidi w:val="0"/>
              <w:spacing w:before="0" w:after="283"/>
              <w:jc w:val="left"/>
              <w:rPr>
                <w:sz w:val="20"/>
              </w:rPr>
            </w:pPr>
            <w:r>
              <w:rPr>
                <w:sz w:val="20"/>
              </w:rPr>
              <w:t>Description of Exhibit</w:t>
            </w:r>
          </w:p>
        </w:tc>
      </w:tr>
      <w:tr>
        <w:trPr/>
        <w:tc>
          <w:tcPr>
            <w:tcW w:w="927" w:type="dxa"/>
            <w:tcBorders/>
            <w:tcMar>
              <w:bottom w:w="0" w:type="dxa"/>
            </w:tcMar>
            <w:vAlign w:val="center"/>
          </w:tcPr>
          <w:p>
            <w:pPr>
              <w:pStyle w:val="TableContents"/>
              <w:bidi w:val="0"/>
              <w:spacing w:before="0" w:after="283"/>
              <w:jc w:val="left"/>
              <w:rPr/>
            </w:pPr>
            <w:hyperlink w:anchor="ex10-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218" w:type="dxa"/>
            <w:tcBorders/>
            <w:tcMar>
              <w:bottom w:w="0" w:type="dxa"/>
            </w:tcMar>
            <w:vAlign w:val="center"/>
          </w:tcPr>
          <w:p>
            <w:pPr>
              <w:pStyle w:val="TableContents"/>
              <w:bidi w:val="0"/>
              <w:spacing w:before="0" w:after="283"/>
              <w:jc w:val="left"/>
              <w:rPr/>
            </w:pPr>
            <w:hyperlink w:anchor="ex10-1.htm">
              <w:r>
                <w:rPr>
                  <w:rStyle w:val="InternetLink"/>
                  <w:sz w:val="20"/>
                </w:rPr>
                <w:t>Credit Agreement, dated as of August 13, 2026, among the Company, as the borrower, the lenders from time to time party thereto, Bank of America, N.A., as administrative agent, an issuing bank and the swingline lender, and the other issuing banks from time to time party thereto</w:t>
              </w:r>
            </w:hyperlink>
          </w:p>
        </w:tc>
      </w:tr>
      <w:tr>
        <w:trPr/>
        <w:tc>
          <w:tcPr>
            <w:tcW w:w="927"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218" w:type="dxa"/>
            <w:tcBorders/>
            <w:tcMar>
              <w:bottom w:w="0" w:type="dxa"/>
            </w:tcMar>
            <w:vAlign w:val="center"/>
          </w:tcPr>
          <w:p>
            <w:pPr>
              <w:pStyle w:val="TableContents"/>
              <w:bidi w:val="0"/>
              <w:spacing w:before="0" w:after="283"/>
              <w:jc w:val="left"/>
              <w:rPr>
                <w:sz w:val="20"/>
              </w:rPr>
            </w:pPr>
            <w:r>
              <w:rPr>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left"/>
        <w:rPr>
          <w:caps w:val="false"/>
          <w:smallCaps w:val="false"/>
        </w:rPr>
      </w:pPr>
      <w:r>
        <w:rPr>
          <w:caps w:val="false"/>
          <w:smallCaps w:val="false"/>
        </w:rPr>
        <w:t> </w:t>
      </w:r>
    </w:p>
    <w:tbl>
      <w:tblPr>
        <w:tblW w:w="2775" w:type="dxa"/>
        <w:jc w:val="left"/>
        <w:tblInd w:w="0" w:type="dxa"/>
        <w:tblLayout w:type="fixed"/>
        <w:tblCellMar>
          <w:top w:w="0" w:type="dxa"/>
          <w:left w:w="0" w:type="dxa"/>
          <w:bottom w:w="0" w:type="dxa"/>
          <w:right w:w="0" w:type="dxa"/>
        </w:tblCellMar>
      </w:tblPr>
      <w:tblGrid>
        <w:gridCol w:w="75"/>
        <w:gridCol w:w="260"/>
        <w:gridCol w:w="545"/>
        <w:gridCol w:w="1895"/>
      </w:tblGrid>
      <w:tr>
        <w:trPr/>
        <w:tc>
          <w:tcPr>
            <w:tcW w:w="75" w:type="dxa"/>
            <w:tcBorders/>
            <w:vAlign w:val="center"/>
          </w:tcPr>
          <w:p>
            <w:pPr>
              <w:pStyle w:val="TableContents"/>
              <w:bidi w:val="0"/>
              <w:spacing w:before="0" w:after="283"/>
              <w:jc w:val="left"/>
              <w:rPr/>
            </w:pPr>
            <w:r>
              <w:rPr/>
              <w:t> </w:t>
            </w:r>
          </w:p>
        </w:tc>
        <w:tc>
          <w:tcPr>
            <w:tcW w:w="2700" w:type="dxa"/>
            <w:gridSpan w:val="3"/>
            <w:tcBorders/>
            <w:vAlign w:val="center"/>
          </w:tcPr>
          <w:p>
            <w:pPr>
              <w:pStyle w:val="TableContents"/>
              <w:bidi w:val="0"/>
              <w:spacing w:before="0" w:after="283"/>
              <w:jc w:val="left"/>
              <w:rPr>
                <w:caps/>
                <w:sz w:val="20"/>
              </w:rPr>
            </w:pPr>
            <w:r>
              <w:rPr>
                <w:caps/>
                <w:sz w:val="20"/>
              </w:rPr>
              <w:t>ILLUMINA, INC.,</w:t>
            </w:r>
          </w:p>
        </w:tc>
      </w:tr>
      <w:tr>
        <w:trPr/>
        <w:tc>
          <w:tcPr>
            <w:tcW w:w="75" w:type="dxa"/>
            <w:tcBorders/>
            <w:vAlign w:val="center"/>
          </w:tcPr>
          <w:p>
            <w:pPr>
              <w:pStyle w:val="TableContents"/>
              <w:bidi w:val="0"/>
              <w:spacing w:before="0" w:after="283"/>
              <w:jc w:val="left"/>
              <w:rPr/>
            </w:pPr>
            <w:r>
              <w:rPr/>
              <w:t> </w:t>
            </w:r>
          </w:p>
        </w:tc>
        <w:tc>
          <w:tcPr>
            <w:tcW w:w="270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By</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44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Ankur Dhingra</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ind w:left="0" w:right="0" w:hanging="630"/>
              <w:jc w:val="left"/>
              <w:rPr/>
            </w:pPr>
            <w:r>
              <w:rPr/>
              <w:t> </w:t>
            </w:r>
          </w:p>
        </w:tc>
        <w:tc>
          <w:tcPr>
            <w:tcW w:w="545" w:type="dxa"/>
            <w:tcBorders/>
            <w:vAlign w:val="center"/>
          </w:tcPr>
          <w:p>
            <w:pPr>
              <w:pStyle w:val="TableContents"/>
              <w:bidi w:val="0"/>
              <w:spacing w:before="0" w:after="283"/>
              <w:ind w:left="0" w:right="0" w:hanging="630"/>
              <w:jc w:val="left"/>
              <w:rPr>
                <w:sz w:val="20"/>
              </w:rPr>
            </w:pPr>
            <w:r>
              <w:rPr>
                <w:sz w:val="20"/>
              </w:rPr>
              <w:t>Name:</w:t>
            </w:r>
          </w:p>
        </w:tc>
        <w:tc>
          <w:tcPr>
            <w:tcW w:w="1895" w:type="dxa"/>
            <w:tcBorders/>
            <w:vAlign w:val="center"/>
          </w:tcPr>
          <w:p>
            <w:pPr>
              <w:pStyle w:val="TableContents"/>
              <w:bidi w:val="0"/>
              <w:spacing w:before="0" w:after="283"/>
              <w:jc w:val="left"/>
              <w:rPr>
                <w:sz w:val="20"/>
              </w:rPr>
            </w:pPr>
            <w:r>
              <w:rPr>
                <w:sz w:val="20"/>
              </w:rPr>
              <w:t>Ankur Dhingra</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ind w:left="0" w:right="0" w:hanging="630"/>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jc w:val="right"/>
        <w:rPr>
          <w:b/>
        </w:rPr>
      </w:pPr>
      <w:bookmarkStart w:id="22" w:name="ex10-1.htm"/>
      <w:bookmarkStart w:id="23" w:name="ksex101"/>
      <w:bookmarkEnd w:id="22"/>
      <w:bookmarkEnd w:id="23"/>
      <w:r>
        <w:rPr>
          <w:b/>
        </w:rPr>
        <w:t>Exhibit 10.1</w:t>
      </w:r>
      <w:r>
        <w:br w:type="page"/>
      </w:r>
    </w:p>
    <w:p>
      <w:pPr>
        <w:pStyle w:val="TextBody"/>
        <w:bidi w:val="0"/>
        <w:spacing w:before="0" w:after="283"/>
        <w:jc w:val="left"/>
        <w:rPr/>
      </w:pPr>
      <w:r>
        <w:rPr/>
        <w:t>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ILLUMINA,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Administrative Agent, an Issuing Bank, and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Issuing Banks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Syndication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 USA,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Co-Documentation Agents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 USA,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Bookrunners and Joint Lead Arrangers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9057" w:type="dxa"/>
        <w:jc w:val="left"/>
        <w:tblInd w:w="0" w:type="dxa"/>
        <w:tblLayout w:type="fixed"/>
        <w:tblCellMar>
          <w:top w:w="0" w:type="dxa"/>
          <w:left w:w="0" w:type="dxa"/>
          <w:bottom w:w="0" w:type="dxa"/>
          <w:right w:w="0" w:type="dxa"/>
        </w:tblCellMar>
      </w:tblPr>
      <w:tblGrid>
        <w:gridCol w:w="939"/>
        <w:gridCol w:w="2099"/>
        <w:gridCol w:w="5774"/>
        <w:gridCol w:w="245"/>
      </w:tblGrid>
      <w:tr>
        <w:trPr/>
        <w:tc>
          <w:tcPr>
            <w:tcW w:w="8812" w:type="dxa"/>
            <w:gridSpan w:val="3"/>
            <w:tcBorders/>
            <w:vAlign w:val="center"/>
          </w:tcPr>
          <w:p>
            <w:pPr>
              <w:pStyle w:val="TableContents"/>
              <w:bidi w:val="0"/>
              <w:spacing w:before="0" w:after="0"/>
              <w:ind w:left="864" w:right="864" w:hanging="0"/>
              <w:jc w:val="left"/>
              <w:rPr>
                <w:rFonts w:ascii="Times New Roman;Times;Serif" w:hAnsi="Times New Roman;Times;Serif"/>
                <w:b/>
                <w:i w:val="false"/>
                <w:caps/>
                <w:sz w:val="20"/>
              </w:rPr>
            </w:pPr>
            <w:r>
              <w:rPr>
                <w:rFonts w:ascii="Times New Roman;Times;Serif" w:hAnsi="Times New Roman;Times;Serif"/>
                <w:b/>
                <w:i w:val="false"/>
                <w:caps/>
                <w:sz w:val="20"/>
              </w:rPr>
              <w:t>Article I Definitions</w:t>
            </w:r>
          </w:p>
        </w:tc>
        <w:tc>
          <w:tcPr>
            <w:tcW w:w="245" w:type="dxa"/>
            <w:tcBorders/>
            <w:vAlign w:val="center"/>
          </w:tcPr>
          <w:p>
            <w:pPr>
              <w:pStyle w:val="TableContents"/>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1</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Terms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of Loans and Borrowings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Generally</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Terms; GAAP; Pro Forma Calculations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8812" w:type="dxa"/>
            <w:gridSpan w:val="3"/>
            <w:tcBorders/>
            <w:vAlign w:val="center"/>
          </w:tcPr>
          <w:p>
            <w:pPr>
              <w:pStyle w:val="TableContents"/>
              <w:bidi w:val="0"/>
              <w:spacing w:before="0" w:after="0"/>
              <w:ind w:left="864" w:right="864" w:hanging="0"/>
              <w:jc w:val="left"/>
              <w:rPr>
                <w:rFonts w:ascii="Times New Roman;Times;Serif" w:hAnsi="Times New Roman;Times;Serif"/>
                <w:b/>
                <w:i w:val="false"/>
                <w:caps/>
                <w:sz w:val="20"/>
              </w:rPr>
            </w:pPr>
            <w:r>
              <w:rPr>
                <w:rFonts w:ascii="Times New Roman;Times;Serif" w:hAnsi="Times New Roman;Times;Serif"/>
                <w:b/>
                <w:i w:val="false"/>
                <w:caps/>
                <w:sz w:val="20"/>
              </w:rPr>
              <w:t>Article II The Credits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Borrowings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Requests for Revolving Borrowings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Swingline Loans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Letters of Credit</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of Borrowings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Elections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and Reduction of Commitments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Loans; Evidence of Debt</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of Loans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Alternate Rate of Interest</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Break Funding Payments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Generally; Pro Rata Treatment; Sharing of Set-offs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2.19</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Mitigation Obligations; Replacement of Lenders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2.20</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Option</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2.21</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of Maturity Date</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2.22</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Illegality</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2.23</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2.24</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Defaulting Lenders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8812" w:type="dxa"/>
            <w:gridSpan w:val="3"/>
            <w:tcBorders/>
            <w:vAlign w:val="center"/>
          </w:tcPr>
          <w:p>
            <w:pPr>
              <w:pStyle w:val="TableContents"/>
              <w:bidi w:val="0"/>
              <w:spacing w:before="0" w:after="0"/>
              <w:ind w:left="864" w:right="864" w:hanging="0"/>
              <w:jc w:val="left"/>
              <w:rPr>
                <w:rFonts w:ascii="Times New Roman;Times;Serif" w:hAnsi="Times New Roman;Times;Serif"/>
                <w:b/>
                <w:i w:val="false"/>
                <w:caps/>
                <w:sz w:val="20"/>
              </w:rPr>
            </w:pPr>
            <w:r>
              <w:rPr>
                <w:rFonts w:ascii="Times New Roman;Times;Serif" w:hAnsi="Times New Roman;Times;Serif"/>
                <w:b/>
                <w:i w:val="false"/>
                <w:caps/>
                <w:sz w:val="20"/>
              </w:rPr>
              <w:t>Article III Representations and Warranties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Powers; Subsidiaries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Enforceability</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Approvals; No Conflicts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Condition; No Material Adverse Change</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Environmental Matters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Company Status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Reserve Regulations</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99"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r>
          </w:p>
        </w:tc>
        <w:tc>
          <w:tcPr>
            <w:tcW w:w="577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w:t>
            </w:r>
          </w:p>
        </w:tc>
        <w:tc>
          <w:tcPr>
            <w:tcW w:w="24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39"/>
        <w:gridCol w:w="2081"/>
        <w:gridCol w:w="6834"/>
        <w:gridCol w:w="351"/>
      </w:tblGrid>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Anti-Corruption Laws and Sanctions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Affected Financial Institution</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854" w:type="dxa"/>
            <w:gridSpan w:val="3"/>
            <w:tcBorders/>
            <w:vAlign w:val="center"/>
          </w:tcPr>
          <w:p>
            <w:pPr>
              <w:pStyle w:val="TableContents"/>
              <w:bidi w:val="0"/>
              <w:spacing w:before="0" w:after="0"/>
              <w:ind w:left="864" w:right="864" w:hanging="0"/>
              <w:jc w:val="left"/>
              <w:rPr>
                <w:rFonts w:ascii="Times New Roman;Times;Serif" w:hAnsi="Times New Roman;Times;Serif"/>
                <w:b/>
                <w:i w:val="false"/>
                <w:caps/>
                <w:sz w:val="20"/>
              </w:rPr>
            </w:pPr>
            <w:r>
              <w:rPr>
                <w:rFonts w:ascii="Times New Roman;Times;Serif" w:hAnsi="Times New Roman;Times;Serif"/>
                <w:b/>
                <w:i w:val="false"/>
                <w:caps/>
                <w:sz w:val="20"/>
              </w:rPr>
              <w:t>Article IV Conditions</w:t>
            </w:r>
          </w:p>
        </w:tc>
        <w:tc>
          <w:tcPr>
            <w:tcW w:w="351" w:type="dxa"/>
            <w:tcBorders/>
            <w:vAlign w:val="center"/>
          </w:tcPr>
          <w:p>
            <w:pPr>
              <w:pStyle w:val="TableContents"/>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63</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Credit Event</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854" w:type="dxa"/>
            <w:gridSpan w:val="3"/>
            <w:tcBorders/>
            <w:vAlign w:val="center"/>
          </w:tcPr>
          <w:p>
            <w:pPr>
              <w:pStyle w:val="TableContents"/>
              <w:bidi w:val="0"/>
              <w:spacing w:before="0" w:after="0"/>
              <w:ind w:left="864" w:right="864" w:hanging="0"/>
              <w:jc w:val="left"/>
              <w:rPr>
                <w:rFonts w:ascii="Times New Roman;Times;Serif" w:hAnsi="Times New Roman;Times;Serif"/>
                <w:b/>
                <w:i w:val="false"/>
                <w:caps/>
                <w:sz w:val="20"/>
              </w:rPr>
            </w:pPr>
            <w:r>
              <w:rPr>
                <w:rFonts w:ascii="Times New Roman;Times;Serif" w:hAnsi="Times New Roman;Times;Serif"/>
                <w:b/>
                <w:i w:val="false"/>
                <w:caps/>
                <w:sz w:val="20"/>
              </w:rPr>
              <w:t>Article V Affirmative Covenants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and Other Information</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Material Events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Existence; Conduct of Business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Taxes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Properties; Insurance</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Books and Records; Inspection Rights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854" w:type="dxa"/>
            <w:gridSpan w:val="3"/>
            <w:tcBorders/>
            <w:vAlign w:val="center"/>
          </w:tcPr>
          <w:p>
            <w:pPr>
              <w:pStyle w:val="TableContents"/>
              <w:bidi w:val="0"/>
              <w:spacing w:before="0" w:after="0"/>
              <w:ind w:left="864" w:right="864" w:hanging="0"/>
              <w:jc w:val="left"/>
              <w:rPr>
                <w:rFonts w:ascii="Times New Roman;Times;Serif" w:hAnsi="Times New Roman;Times;Serif"/>
                <w:b/>
                <w:i w:val="false"/>
                <w:caps/>
                <w:sz w:val="20"/>
              </w:rPr>
            </w:pPr>
            <w:r>
              <w:rPr>
                <w:rFonts w:ascii="Times New Roman;Times;Serif" w:hAnsi="Times New Roman;Times;Serif"/>
                <w:b/>
                <w:i w:val="false"/>
                <w:caps/>
                <w:sz w:val="20"/>
              </w:rPr>
              <w:t>Article VI Negative Covenants</w:t>
            </w:r>
          </w:p>
        </w:tc>
        <w:tc>
          <w:tcPr>
            <w:tcW w:w="351" w:type="dxa"/>
            <w:tcBorders/>
            <w:vAlign w:val="center"/>
          </w:tcPr>
          <w:p>
            <w:pPr>
              <w:pStyle w:val="TableContents"/>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68</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Indebtedness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Fundamental Changes and Asset Sales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Covenant</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9854" w:type="dxa"/>
            <w:gridSpan w:val="3"/>
            <w:tcBorders/>
            <w:vAlign w:val="center"/>
          </w:tcPr>
          <w:p>
            <w:pPr>
              <w:pStyle w:val="TableContents"/>
              <w:bidi w:val="0"/>
              <w:spacing w:before="0" w:after="0"/>
              <w:ind w:left="864" w:right="864" w:hanging="0"/>
              <w:jc w:val="left"/>
              <w:rPr>
                <w:rFonts w:ascii="Times New Roman;Times;Serif" w:hAnsi="Times New Roman;Times;Serif"/>
                <w:b/>
                <w:i w:val="false"/>
                <w:caps/>
                <w:sz w:val="20"/>
              </w:rPr>
            </w:pPr>
            <w:r>
              <w:rPr>
                <w:rFonts w:ascii="Times New Roman;Times;Serif" w:hAnsi="Times New Roman;Times;Serif"/>
                <w:b/>
                <w:i w:val="false"/>
                <w:caps/>
                <w:sz w:val="20"/>
              </w:rPr>
              <w:t>Article VII Events of Default</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854" w:type="dxa"/>
            <w:gridSpan w:val="3"/>
            <w:tcBorders/>
            <w:vAlign w:val="center"/>
          </w:tcPr>
          <w:p>
            <w:pPr>
              <w:pStyle w:val="TableContents"/>
              <w:bidi w:val="0"/>
              <w:spacing w:before="0" w:after="0"/>
              <w:ind w:left="864" w:right="864" w:hanging="0"/>
              <w:jc w:val="left"/>
              <w:rPr>
                <w:rFonts w:ascii="Times New Roman;Times;Serif" w:hAnsi="Times New Roman;Times;Serif"/>
                <w:b/>
                <w:i w:val="false"/>
                <w:caps/>
                <w:sz w:val="20"/>
              </w:rPr>
            </w:pPr>
            <w:r>
              <w:rPr>
                <w:rFonts w:ascii="Times New Roman;Times;Serif" w:hAnsi="Times New Roman;Times;Serif"/>
                <w:b/>
                <w:i w:val="false"/>
                <w:caps/>
                <w:sz w:val="20"/>
              </w:rPr>
              <w:t>Article VIII The Administrative Agent</w:t>
            </w:r>
          </w:p>
        </w:tc>
        <w:tc>
          <w:tcPr>
            <w:tcW w:w="351" w:type="dxa"/>
            <w:tcBorders/>
            <w:vAlign w:val="center"/>
          </w:tcPr>
          <w:p>
            <w:pPr>
              <w:pStyle w:val="TableContents"/>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78</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Posting of Communications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ERISA Matters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Recovery of Erroneous Payments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9854" w:type="dxa"/>
            <w:gridSpan w:val="3"/>
            <w:tcBorders/>
            <w:vAlign w:val="center"/>
          </w:tcPr>
          <w:p>
            <w:pPr>
              <w:pStyle w:val="TableContents"/>
              <w:bidi w:val="0"/>
              <w:spacing w:before="0" w:after="0"/>
              <w:ind w:left="864" w:right="864" w:hanging="0"/>
              <w:jc w:val="left"/>
              <w:rPr>
                <w:rFonts w:ascii="Times New Roman;Times;Serif" w:hAnsi="Times New Roman;Times;Serif"/>
                <w:b/>
                <w:i w:val="false"/>
                <w:caps/>
                <w:sz w:val="20"/>
              </w:rPr>
            </w:pPr>
            <w:r>
              <w:rPr>
                <w:rFonts w:ascii="Times New Roman;Times;Serif" w:hAnsi="Times New Roman;Times;Serif"/>
                <w:b/>
                <w:i w:val="false"/>
                <w:caps/>
                <w:sz w:val="20"/>
              </w:rPr>
              <w:t>Article IX Miscellaneous</w:t>
            </w:r>
          </w:p>
        </w:tc>
        <w:tc>
          <w:tcPr>
            <w:tcW w:w="351" w:type="dxa"/>
            <w:tcBorders/>
            <w:vAlign w:val="center"/>
          </w:tcPr>
          <w:p>
            <w:pPr>
              <w:pStyle w:val="TableContents"/>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86</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Waivers; Amendments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Indemnity; Damage Waiver</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Integration; Effectiveness; Electronic Execution</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Setoff</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9.09</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Jurisdiction; Consent to Service of Process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OF JURY TRIAL</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Patriot Act</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Limitation</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9.16</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Advisory or Fiduciary Responsibility</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9.17</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Acknowledgement and Consent to Bail-In of Affected Financial Institutions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39" w:type="dxa"/>
            <w:tcBorders/>
            <w:vAlign w:val="center"/>
          </w:tcPr>
          <w:p>
            <w:pPr>
              <w:pStyle w:val="TableContents"/>
              <w:bidi w:val="0"/>
              <w:spacing w:before="0" w:after="0"/>
              <w:ind w:left="864" w:right="864" w:hanging="0"/>
              <w:jc w:val="left"/>
              <w:rPr>
                <w:caps w:val="false"/>
                <w:smallCaps w:val="false"/>
              </w:rPr>
            </w:pPr>
            <w:r>
              <w:rPr>
                <w:caps w:val="false"/>
                <w:smallCaps w:val="false"/>
              </w:rPr>
              <w:t> </w:t>
            </w:r>
          </w:p>
        </w:tc>
        <w:tc>
          <w:tcPr>
            <w:tcW w:w="2081"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9.18</w:t>
            </w:r>
          </w:p>
        </w:tc>
        <w:tc>
          <w:tcPr>
            <w:tcW w:w="6834" w:type="dxa"/>
            <w:tcBorders/>
            <w:vAlign w:val="center"/>
          </w:tcPr>
          <w:p>
            <w:pPr>
              <w:pStyle w:val="TableContents"/>
              <w:bidi w:val="0"/>
              <w:spacing w:before="0" w:after="0"/>
              <w:ind w:left="864" w:right="8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Acknowledgement Regarding Any Supported QFCs</w:t>
            </w:r>
          </w:p>
        </w:tc>
        <w:tc>
          <w:tcPr>
            <w:tcW w:w="35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bl>
    <w:p>
      <w:pPr>
        <w:pStyle w:val="TextBody"/>
        <w:bidi w:val="0"/>
        <w:spacing w:before="0" w:after="0"/>
        <w:ind w:left="2610" w:right="864" w:hanging="216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1190"/>
        <w:gridCol w:w="6230"/>
      </w:tblGrid>
      <w:tr>
        <w:trPr/>
        <w:tc>
          <w:tcPr>
            <w:tcW w:w="7420" w:type="dxa"/>
            <w:gridSpan w:val="2"/>
            <w:tcBorders/>
            <w:vAlign w:val="center"/>
          </w:tcPr>
          <w:p>
            <w:pPr>
              <w:pStyle w:val="TableContents"/>
              <w:bidi w:val="0"/>
              <w:spacing w:before="0" w:after="283"/>
              <w:jc w:val="left"/>
              <w:rPr>
                <w:sz w:val="20"/>
              </w:rPr>
            </w:pPr>
            <w:r>
              <w:rPr>
                <w:sz w:val="20"/>
                <w:u w:val="single"/>
              </w:rPr>
              <w:t>SCHEDULES</w:t>
            </w:r>
            <w:r>
              <w:rPr>
                <w:sz w:val="20"/>
              </w:rPr>
              <w:t>:</w:t>
            </w:r>
          </w:p>
        </w:tc>
      </w:tr>
      <w:tr>
        <w:trPr/>
        <w:tc>
          <w:tcPr>
            <w:tcW w:w="7420" w:type="dxa"/>
            <w:gridSpan w:val="2"/>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20"/>
              </w:rPr>
            </w:pPr>
            <w:r>
              <w:rPr>
                <w:sz w:val="20"/>
              </w:rPr>
              <w:t>Schedule 2.01</w:t>
            </w:r>
          </w:p>
        </w:tc>
        <w:tc>
          <w:tcPr>
            <w:tcW w:w="6230" w:type="dxa"/>
            <w:tcBorders/>
            <w:vAlign w:val="center"/>
          </w:tcPr>
          <w:p>
            <w:pPr>
              <w:pStyle w:val="TableContents"/>
              <w:bidi w:val="0"/>
              <w:spacing w:before="0" w:after="283"/>
              <w:jc w:val="left"/>
              <w:rPr>
                <w:sz w:val="20"/>
              </w:rPr>
            </w:pPr>
            <w:r>
              <w:rPr>
                <w:sz w:val="20"/>
              </w:rPr>
              <w:t xml:space="preserve">Commitments </w:t>
            </w:r>
          </w:p>
        </w:tc>
      </w:tr>
      <w:tr>
        <w:trPr/>
        <w:tc>
          <w:tcPr>
            <w:tcW w:w="1190" w:type="dxa"/>
            <w:tcBorders/>
            <w:vAlign w:val="center"/>
          </w:tcPr>
          <w:p>
            <w:pPr>
              <w:pStyle w:val="TableContents"/>
              <w:bidi w:val="0"/>
              <w:spacing w:before="0" w:after="283"/>
              <w:jc w:val="left"/>
              <w:rPr>
                <w:sz w:val="20"/>
              </w:rPr>
            </w:pPr>
            <w:r>
              <w:rPr>
                <w:sz w:val="20"/>
              </w:rPr>
              <w:t>Schedule 3.01</w:t>
            </w:r>
          </w:p>
        </w:tc>
        <w:tc>
          <w:tcPr>
            <w:tcW w:w="6230" w:type="dxa"/>
            <w:tcBorders/>
            <w:vAlign w:val="center"/>
          </w:tcPr>
          <w:p>
            <w:pPr>
              <w:pStyle w:val="TableContents"/>
              <w:bidi w:val="0"/>
              <w:spacing w:before="0" w:after="283"/>
              <w:jc w:val="left"/>
              <w:rPr>
                <w:sz w:val="20"/>
              </w:rPr>
            </w:pPr>
            <w:r>
              <w:rPr>
                <w:sz w:val="20"/>
              </w:rPr>
              <w:t>Subsidiaries</w:t>
            </w:r>
          </w:p>
        </w:tc>
      </w:tr>
      <w:tr>
        <w:trPr/>
        <w:tc>
          <w:tcPr>
            <w:tcW w:w="1190" w:type="dxa"/>
            <w:tcBorders/>
            <w:vAlign w:val="center"/>
          </w:tcPr>
          <w:p>
            <w:pPr>
              <w:pStyle w:val="TableContents"/>
              <w:bidi w:val="0"/>
              <w:spacing w:before="0" w:after="283"/>
              <w:jc w:val="left"/>
              <w:rPr>
                <w:sz w:val="20"/>
              </w:rPr>
            </w:pPr>
            <w:r>
              <w:rPr>
                <w:sz w:val="20"/>
              </w:rPr>
              <w:t>Schedule 6.01</w:t>
            </w:r>
          </w:p>
        </w:tc>
        <w:tc>
          <w:tcPr>
            <w:tcW w:w="6230" w:type="dxa"/>
            <w:tcBorders/>
            <w:vAlign w:val="center"/>
          </w:tcPr>
          <w:p>
            <w:pPr>
              <w:pStyle w:val="TableContents"/>
              <w:bidi w:val="0"/>
              <w:spacing w:before="0" w:after="283"/>
              <w:jc w:val="left"/>
              <w:rPr>
                <w:sz w:val="20"/>
              </w:rPr>
            </w:pPr>
            <w:r>
              <w:rPr>
                <w:sz w:val="20"/>
              </w:rPr>
              <w:t>Existing Indebtedness</w:t>
            </w:r>
          </w:p>
        </w:tc>
      </w:tr>
      <w:tr>
        <w:trPr/>
        <w:tc>
          <w:tcPr>
            <w:tcW w:w="1190" w:type="dxa"/>
            <w:tcBorders/>
            <w:vAlign w:val="center"/>
          </w:tcPr>
          <w:p>
            <w:pPr>
              <w:pStyle w:val="TableContents"/>
              <w:bidi w:val="0"/>
              <w:spacing w:before="0" w:after="283"/>
              <w:jc w:val="left"/>
              <w:rPr>
                <w:sz w:val="20"/>
              </w:rPr>
            </w:pPr>
            <w:r>
              <w:rPr>
                <w:sz w:val="20"/>
              </w:rPr>
              <w:t>Schedule 6.02</w:t>
            </w:r>
          </w:p>
        </w:tc>
        <w:tc>
          <w:tcPr>
            <w:tcW w:w="6230" w:type="dxa"/>
            <w:tcBorders/>
            <w:vAlign w:val="center"/>
          </w:tcPr>
          <w:p>
            <w:pPr>
              <w:pStyle w:val="TableContents"/>
              <w:bidi w:val="0"/>
              <w:spacing w:before="0" w:after="283"/>
              <w:jc w:val="left"/>
              <w:rPr>
                <w:sz w:val="20"/>
              </w:rPr>
            </w:pPr>
            <w:r>
              <w:rPr>
                <w:sz w:val="20"/>
              </w:rPr>
              <w:t>Existing Liens</w:t>
            </w:r>
          </w:p>
        </w:tc>
      </w:tr>
      <w:tr>
        <w:trPr/>
        <w:tc>
          <w:tcPr>
            <w:tcW w:w="119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pPr>
            <w:r>
              <w:rPr/>
              <w:t> </w:t>
            </w:r>
          </w:p>
        </w:tc>
      </w:tr>
      <w:tr>
        <w:trPr/>
        <w:tc>
          <w:tcPr>
            <w:tcW w:w="7420" w:type="dxa"/>
            <w:gridSpan w:val="2"/>
            <w:tcBorders/>
            <w:vAlign w:val="center"/>
          </w:tcPr>
          <w:p>
            <w:pPr>
              <w:pStyle w:val="TableContents"/>
              <w:bidi w:val="0"/>
              <w:spacing w:before="0" w:after="283"/>
              <w:jc w:val="left"/>
              <w:rPr>
                <w:sz w:val="20"/>
              </w:rPr>
            </w:pPr>
            <w:r>
              <w:rPr>
                <w:sz w:val="20"/>
                <w:u w:val="single"/>
              </w:rPr>
              <w:t>EXHIBITS</w:t>
            </w:r>
            <w:r>
              <w:rPr>
                <w:sz w:val="20"/>
              </w:rPr>
              <w:t>:</w:t>
            </w:r>
          </w:p>
        </w:tc>
      </w:tr>
      <w:tr>
        <w:trPr/>
        <w:tc>
          <w:tcPr>
            <w:tcW w:w="7420" w:type="dxa"/>
            <w:gridSpan w:val="2"/>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20"/>
              </w:rPr>
            </w:pPr>
            <w:r>
              <w:rPr>
                <w:sz w:val="20"/>
              </w:rPr>
              <w:t>Exhibit A</w:t>
            </w:r>
          </w:p>
        </w:tc>
        <w:tc>
          <w:tcPr>
            <w:tcW w:w="6230" w:type="dxa"/>
            <w:tcBorders/>
            <w:vAlign w:val="center"/>
          </w:tcPr>
          <w:p>
            <w:pPr>
              <w:pStyle w:val="TableContents"/>
              <w:bidi w:val="0"/>
              <w:spacing w:before="0" w:after="283"/>
              <w:jc w:val="left"/>
              <w:rPr>
                <w:sz w:val="20"/>
              </w:rPr>
            </w:pPr>
            <w:r>
              <w:rPr>
                <w:sz w:val="20"/>
              </w:rPr>
              <w:t>Form of Assignment and Assumption</w:t>
            </w:r>
          </w:p>
        </w:tc>
      </w:tr>
      <w:tr>
        <w:trPr/>
        <w:tc>
          <w:tcPr>
            <w:tcW w:w="1190" w:type="dxa"/>
            <w:tcBorders/>
            <w:vAlign w:val="center"/>
          </w:tcPr>
          <w:p>
            <w:pPr>
              <w:pStyle w:val="TableContents"/>
              <w:bidi w:val="0"/>
              <w:spacing w:before="0" w:after="283"/>
              <w:jc w:val="left"/>
              <w:rPr>
                <w:sz w:val="20"/>
              </w:rPr>
            </w:pPr>
            <w:r>
              <w:rPr>
                <w:sz w:val="20"/>
              </w:rPr>
              <w:t>Exhibit B</w:t>
            </w:r>
          </w:p>
        </w:tc>
        <w:tc>
          <w:tcPr>
            <w:tcW w:w="6230" w:type="dxa"/>
            <w:tcBorders/>
            <w:vAlign w:val="center"/>
          </w:tcPr>
          <w:p>
            <w:pPr>
              <w:pStyle w:val="TableContents"/>
              <w:bidi w:val="0"/>
              <w:spacing w:before="0" w:after="283"/>
              <w:jc w:val="left"/>
              <w:rPr>
                <w:sz w:val="20"/>
              </w:rPr>
            </w:pPr>
            <w:r>
              <w:rPr>
                <w:sz w:val="20"/>
              </w:rPr>
              <w:t>Form of Increasing Lender Supplement</w:t>
            </w:r>
          </w:p>
        </w:tc>
      </w:tr>
      <w:tr>
        <w:trPr/>
        <w:tc>
          <w:tcPr>
            <w:tcW w:w="1190" w:type="dxa"/>
            <w:tcBorders/>
            <w:vAlign w:val="center"/>
          </w:tcPr>
          <w:p>
            <w:pPr>
              <w:pStyle w:val="TableContents"/>
              <w:bidi w:val="0"/>
              <w:spacing w:before="0" w:after="283"/>
              <w:jc w:val="left"/>
              <w:rPr>
                <w:sz w:val="20"/>
              </w:rPr>
            </w:pPr>
            <w:r>
              <w:rPr>
                <w:sz w:val="20"/>
              </w:rPr>
              <w:t>Exhibit C</w:t>
            </w:r>
          </w:p>
        </w:tc>
        <w:tc>
          <w:tcPr>
            <w:tcW w:w="6230" w:type="dxa"/>
            <w:tcBorders/>
            <w:vAlign w:val="center"/>
          </w:tcPr>
          <w:p>
            <w:pPr>
              <w:pStyle w:val="TableContents"/>
              <w:bidi w:val="0"/>
              <w:spacing w:before="0" w:after="283"/>
              <w:jc w:val="left"/>
              <w:rPr>
                <w:sz w:val="20"/>
              </w:rPr>
            </w:pPr>
            <w:r>
              <w:rPr>
                <w:sz w:val="20"/>
              </w:rPr>
              <w:t>Form of Augmenting Lender Supplement</w:t>
            </w:r>
          </w:p>
        </w:tc>
      </w:tr>
      <w:tr>
        <w:trPr/>
        <w:tc>
          <w:tcPr>
            <w:tcW w:w="1190" w:type="dxa"/>
            <w:tcBorders/>
            <w:vAlign w:val="center"/>
          </w:tcPr>
          <w:p>
            <w:pPr>
              <w:pStyle w:val="TableContents"/>
              <w:bidi w:val="0"/>
              <w:spacing w:before="0" w:after="283"/>
              <w:jc w:val="left"/>
              <w:rPr>
                <w:sz w:val="20"/>
              </w:rPr>
            </w:pPr>
            <w:r>
              <w:rPr>
                <w:sz w:val="20"/>
              </w:rPr>
              <w:t>Exhibit D</w:t>
            </w:r>
          </w:p>
        </w:tc>
        <w:tc>
          <w:tcPr>
            <w:tcW w:w="6230" w:type="dxa"/>
            <w:tcBorders/>
            <w:vAlign w:val="center"/>
          </w:tcPr>
          <w:p>
            <w:pPr>
              <w:pStyle w:val="TableContents"/>
              <w:bidi w:val="0"/>
              <w:spacing w:before="0" w:after="283"/>
              <w:jc w:val="left"/>
              <w:rPr>
                <w:sz w:val="20"/>
              </w:rPr>
            </w:pPr>
            <w:r>
              <w:rPr>
                <w:sz w:val="20"/>
              </w:rPr>
              <w:t>Form of Compliance Certificate</w:t>
            </w:r>
          </w:p>
        </w:tc>
      </w:tr>
      <w:tr>
        <w:trPr/>
        <w:tc>
          <w:tcPr>
            <w:tcW w:w="1190" w:type="dxa"/>
            <w:tcBorders/>
            <w:vAlign w:val="center"/>
          </w:tcPr>
          <w:p>
            <w:pPr>
              <w:pStyle w:val="TableContents"/>
              <w:bidi w:val="0"/>
              <w:spacing w:before="0" w:after="283"/>
              <w:jc w:val="left"/>
              <w:rPr>
                <w:sz w:val="20"/>
              </w:rPr>
            </w:pPr>
            <w:r>
              <w:rPr>
                <w:sz w:val="20"/>
              </w:rPr>
              <w:t>Exhibit E-1</w:t>
            </w:r>
          </w:p>
        </w:tc>
        <w:tc>
          <w:tcPr>
            <w:tcW w:w="6230" w:type="dxa"/>
            <w:tcBorders/>
            <w:vAlign w:val="center"/>
          </w:tcPr>
          <w:p>
            <w:pPr>
              <w:pStyle w:val="TableContents"/>
              <w:bidi w:val="0"/>
              <w:spacing w:before="0" w:after="283"/>
              <w:jc w:val="left"/>
              <w:rPr>
                <w:sz w:val="20"/>
              </w:rPr>
            </w:pPr>
            <w:r>
              <w:rPr>
                <w:sz w:val="20"/>
              </w:rPr>
              <w:t>Form of U.S. Tax Certificate (Foreign Lenders That Are Not Partnerships)</w:t>
            </w:r>
          </w:p>
        </w:tc>
      </w:tr>
      <w:tr>
        <w:trPr/>
        <w:tc>
          <w:tcPr>
            <w:tcW w:w="1190" w:type="dxa"/>
            <w:tcBorders/>
            <w:vAlign w:val="center"/>
          </w:tcPr>
          <w:p>
            <w:pPr>
              <w:pStyle w:val="TableContents"/>
              <w:bidi w:val="0"/>
              <w:spacing w:before="0" w:after="283"/>
              <w:jc w:val="left"/>
              <w:rPr>
                <w:sz w:val="20"/>
              </w:rPr>
            </w:pPr>
            <w:r>
              <w:rPr>
                <w:sz w:val="20"/>
              </w:rPr>
              <w:t>Exhibit E-2</w:t>
            </w:r>
          </w:p>
        </w:tc>
        <w:tc>
          <w:tcPr>
            <w:tcW w:w="6230" w:type="dxa"/>
            <w:tcBorders/>
            <w:vAlign w:val="center"/>
          </w:tcPr>
          <w:p>
            <w:pPr>
              <w:pStyle w:val="TableContents"/>
              <w:bidi w:val="0"/>
              <w:spacing w:before="0" w:after="283"/>
              <w:jc w:val="left"/>
              <w:rPr>
                <w:sz w:val="20"/>
              </w:rPr>
            </w:pPr>
            <w:r>
              <w:rPr>
                <w:sz w:val="20"/>
              </w:rPr>
              <w:t>Form of U.S. Tax Certificate (Foreign Participants That Are Not Partnerships)</w:t>
            </w:r>
          </w:p>
        </w:tc>
      </w:tr>
      <w:tr>
        <w:trPr/>
        <w:tc>
          <w:tcPr>
            <w:tcW w:w="1190" w:type="dxa"/>
            <w:tcBorders/>
            <w:vAlign w:val="center"/>
          </w:tcPr>
          <w:p>
            <w:pPr>
              <w:pStyle w:val="TableContents"/>
              <w:bidi w:val="0"/>
              <w:spacing w:before="0" w:after="283"/>
              <w:jc w:val="left"/>
              <w:rPr>
                <w:sz w:val="20"/>
              </w:rPr>
            </w:pPr>
            <w:r>
              <w:rPr>
                <w:sz w:val="20"/>
              </w:rPr>
              <w:t>Exhibit E-3</w:t>
            </w:r>
          </w:p>
        </w:tc>
        <w:tc>
          <w:tcPr>
            <w:tcW w:w="6230" w:type="dxa"/>
            <w:tcBorders/>
            <w:vAlign w:val="center"/>
          </w:tcPr>
          <w:p>
            <w:pPr>
              <w:pStyle w:val="TableContents"/>
              <w:bidi w:val="0"/>
              <w:spacing w:before="0" w:after="283"/>
              <w:jc w:val="left"/>
              <w:rPr>
                <w:sz w:val="20"/>
              </w:rPr>
            </w:pPr>
            <w:r>
              <w:rPr>
                <w:sz w:val="20"/>
              </w:rPr>
              <w:t>Form of U.S. Tax Certificate (Foreign Participants That Are Partnerships)</w:t>
            </w:r>
          </w:p>
        </w:tc>
      </w:tr>
      <w:tr>
        <w:trPr/>
        <w:tc>
          <w:tcPr>
            <w:tcW w:w="1190" w:type="dxa"/>
            <w:tcBorders/>
            <w:vAlign w:val="center"/>
          </w:tcPr>
          <w:p>
            <w:pPr>
              <w:pStyle w:val="TableContents"/>
              <w:bidi w:val="0"/>
              <w:spacing w:before="0" w:after="283"/>
              <w:jc w:val="left"/>
              <w:rPr>
                <w:sz w:val="20"/>
              </w:rPr>
            </w:pPr>
            <w:r>
              <w:rPr>
                <w:sz w:val="20"/>
              </w:rPr>
              <w:t>Exhibit E-4</w:t>
            </w:r>
          </w:p>
        </w:tc>
        <w:tc>
          <w:tcPr>
            <w:tcW w:w="6230" w:type="dxa"/>
            <w:tcBorders/>
            <w:vAlign w:val="center"/>
          </w:tcPr>
          <w:p>
            <w:pPr>
              <w:pStyle w:val="TableContents"/>
              <w:bidi w:val="0"/>
              <w:spacing w:before="0" w:after="283"/>
              <w:jc w:val="left"/>
              <w:rPr>
                <w:sz w:val="20"/>
              </w:rPr>
            </w:pPr>
            <w:r>
              <w:rPr>
                <w:sz w:val="20"/>
              </w:rPr>
              <w:t>Form of U.S. Tax Certificate (Foreign Lenders That Are Partnerships)</w:t>
            </w:r>
          </w:p>
        </w:tc>
      </w:tr>
      <w:tr>
        <w:trPr/>
        <w:tc>
          <w:tcPr>
            <w:tcW w:w="1190" w:type="dxa"/>
            <w:tcBorders/>
            <w:vAlign w:val="center"/>
          </w:tcPr>
          <w:p>
            <w:pPr>
              <w:pStyle w:val="TableContents"/>
              <w:bidi w:val="0"/>
              <w:spacing w:before="0" w:after="283"/>
              <w:jc w:val="left"/>
              <w:rPr>
                <w:sz w:val="20"/>
              </w:rPr>
            </w:pPr>
            <w:r>
              <w:rPr>
                <w:sz w:val="20"/>
              </w:rPr>
              <w:t>Exhibit F-1</w:t>
            </w:r>
          </w:p>
        </w:tc>
        <w:tc>
          <w:tcPr>
            <w:tcW w:w="6230" w:type="dxa"/>
            <w:tcBorders/>
            <w:vAlign w:val="center"/>
          </w:tcPr>
          <w:p>
            <w:pPr>
              <w:pStyle w:val="TableContents"/>
              <w:bidi w:val="0"/>
              <w:spacing w:before="0" w:after="283"/>
              <w:jc w:val="left"/>
              <w:rPr>
                <w:sz w:val="20"/>
              </w:rPr>
            </w:pPr>
            <w:r>
              <w:rPr>
                <w:sz w:val="20"/>
              </w:rPr>
              <w:t>Form of Borrowing Request</w:t>
            </w:r>
          </w:p>
        </w:tc>
      </w:tr>
      <w:tr>
        <w:trPr/>
        <w:tc>
          <w:tcPr>
            <w:tcW w:w="1190" w:type="dxa"/>
            <w:tcBorders/>
            <w:vAlign w:val="center"/>
          </w:tcPr>
          <w:p>
            <w:pPr>
              <w:pStyle w:val="TableContents"/>
              <w:bidi w:val="0"/>
              <w:spacing w:before="0" w:after="283"/>
              <w:jc w:val="left"/>
              <w:rPr>
                <w:sz w:val="20"/>
              </w:rPr>
            </w:pPr>
            <w:r>
              <w:rPr>
                <w:sz w:val="20"/>
              </w:rPr>
              <w:t>Exhibit F-2</w:t>
            </w:r>
          </w:p>
        </w:tc>
        <w:tc>
          <w:tcPr>
            <w:tcW w:w="6230" w:type="dxa"/>
            <w:tcBorders/>
            <w:vAlign w:val="center"/>
          </w:tcPr>
          <w:p>
            <w:pPr>
              <w:pStyle w:val="TableContents"/>
              <w:bidi w:val="0"/>
              <w:spacing w:before="0" w:after="283"/>
              <w:jc w:val="left"/>
              <w:rPr>
                <w:sz w:val="20"/>
              </w:rPr>
            </w:pPr>
            <w:r>
              <w:rPr>
                <w:sz w:val="20"/>
              </w:rPr>
              <w:t>Form of Interest Election Request</w:t>
            </w:r>
          </w:p>
        </w:tc>
      </w:tr>
      <w:tr>
        <w:trPr/>
        <w:tc>
          <w:tcPr>
            <w:tcW w:w="1190" w:type="dxa"/>
            <w:tcBorders/>
            <w:vAlign w:val="center"/>
          </w:tcPr>
          <w:p>
            <w:pPr>
              <w:pStyle w:val="TableContents"/>
              <w:bidi w:val="0"/>
              <w:spacing w:before="0" w:after="283"/>
              <w:jc w:val="left"/>
              <w:rPr>
                <w:sz w:val="20"/>
              </w:rPr>
            </w:pPr>
            <w:r>
              <w:rPr>
                <w:sz w:val="20"/>
              </w:rPr>
              <w:t>Exhibit G</w:t>
            </w:r>
          </w:p>
        </w:tc>
        <w:tc>
          <w:tcPr>
            <w:tcW w:w="6230" w:type="dxa"/>
            <w:tcBorders/>
            <w:vAlign w:val="center"/>
          </w:tcPr>
          <w:p>
            <w:pPr>
              <w:pStyle w:val="TableContents"/>
              <w:bidi w:val="0"/>
              <w:spacing w:before="0" w:after="283"/>
              <w:jc w:val="left"/>
              <w:rPr>
                <w:sz w:val="20"/>
              </w:rPr>
            </w:pPr>
            <w:r>
              <w:rPr>
                <w:sz w:val="20"/>
              </w:rPr>
              <w:t>Form of Note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August 13, 2026 among ILLUMINA, INC., a Delaware corporation, as the Borrower, the LENDERS from time to time party hereto, BANK OF AMERICA, N.A., as the Administrative Agent, an Issuing Bank and the Swingline Lender, and the other ISSUING BANKS from time to time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br/>
        <w:t xml:space="preserve">Definitions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have the meanings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w:t>
      </w:r>
      <w:r>
        <w:rPr>
          <w:rFonts w:ascii="Times New Roman;Times;Serif" w:hAnsi="Times New Roman;Times;Serif"/>
          <w:b w:val="false"/>
          <w:i w:val="false"/>
          <w:caps w:val="false"/>
          <w:smallCaps w:val="false"/>
          <w:sz w:val="20"/>
        </w:rPr>
        <w:t>”, when used in reference to any Loan or Borrowing, refers to such Loan, or the Loans comprising such Borrowing, bearing interest at a rate determined by reference to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any acquisition (whether by purchase, merger, consolidation or otherwise) or series of related acquisitions by the Company or any Subsidiary of (a) all or substantially all the assets of (or all or substantially all the assets constituting a business unit, division, product line (including rights in respect of any drug or other pharmaceutical product) or line of business of) any Person, or (b) all or substantially all the Equity Interests in a Person or division or line of business of a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Commitment Lender</w:t>
      </w:r>
      <w:r>
        <w:rPr>
          <w:rFonts w:ascii="Times New Roman;Times;Serif" w:hAnsi="Times New Roman;Times;Serif"/>
          <w:b w:val="false"/>
          <w:i w:val="false"/>
          <w:caps w:val="false"/>
          <w:smallCaps w:val="false"/>
          <w:sz w:val="20"/>
        </w:rPr>
        <w:t>” has the meaning assigned to such term in Section 2.21(d).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means Bank of America, N.A. (including its branches and affiliates), in its capacity as administrative agent for the Lenders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Agent’s Office</w:t>
      </w:r>
      <w:r>
        <w:rPr>
          <w:rFonts w:ascii="Times New Roman;Times;Serif" w:hAnsi="Times New Roman;Times;Serif"/>
          <w:b w:val="false"/>
          <w:i w:val="false"/>
          <w:caps w:val="false"/>
          <w:smallCaps w:val="false"/>
          <w:sz w:val="20"/>
        </w:rPr>
        <w:t>” means, the Administrative Agent’s address and, as appropriate, account as set forth in Section 9.01(a)(ii), or such other address or account as the Administrative Agent may from time to time notify the Company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Commitment</w:t>
      </w:r>
      <w:r>
        <w:rPr>
          <w:rFonts w:ascii="Times New Roman;Times;Serif" w:hAnsi="Times New Roman;Times;Serif"/>
          <w:b w:val="false"/>
          <w:i w:val="false"/>
          <w:caps w:val="false"/>
          <w:smallCaps w:val="false"/>
          <w:sz w:val="20"/>
        </w:rPr>
        <w:t>” means the aggregate of the Commitments of all of the Lenders, as reduced or increased from time to time pursuant to the terms and conditions hereof. As of the Effective Date, the Aggregate Commitment is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assigned to such term in the introductory paragraph hereto.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means for any day a fluctuating rate of interest per annum equal to the highest of (a) the Federal Funds Effective Rate plus 1/2 of 1%, (b) the rate of interest in effect for such day as publicly announced from time to time by Bank of America as its “prime rate,” and (c) Term SOFR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Alternate Base Rate is being used as an alternate rate of interest pursuant to Section 2.14 hereof, then the Alternate Base Rate shall be the greater of clauses (a) and (b) above and shall be determined without reference to clause (c) above. For the avoidance of doubt, if the Alternate Base Rate shall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Company or its Subsidiaries from time to time concerning or relating to bribery or corruption, including the U.S. Foreign Corrupt Practices Act of 1977 and the U.K. Bribery Act of 2010.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LC Sublimit</w:t>
      </w:r>
      <w:r>
        <w:rPr>
          <w:rFonts w:ascii="Times New Roman;Times;Serif" w:hAnsi="Times New Roman;Times;Serif"/>
          <w:b w:val="false"/>
          <w:i w:val="false"/>
          <w:caps w:val="false"/>
          <w:smallCaps w:val="false"/>
          <w:sz w:val="20"/>
        </w:rPr>
        <w:t>” means (a) with respect to Bank of America, N.A. in its capacity as an Issuing Bank under this Agreement, $75,000,000 and (b) with respect to any other Person that becomes an Issuing Bank pursuant to the terms of this Agreement, such amount as agreed to in writing by the Company, the Administrative Agent and such Person at the time such Person becomes an Issuing Bank pursuant to the terms of this Agreement, as each of the foregoing amounts may be decreased or increased from time to time with the written consent of the Company, the Administrative Agent and the Issuing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increase in the Applicable LC Sublimit with respect to any Issuing Bank shall only require the consent of the Company and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has the meaning assigned to it in Section 8.02(c).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xml:space="preserve">” means, with respect to any Lender, the percentage of the Aggregate Commitment represented by such Lender’s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Section 2.24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for any day, with respect to any Term SOFR Loan or any ABR Loan or with respect to the facility fees payable hereunder, as the case may be, the applicable rate per annum set forth below under the caption “Term SOFR Spread”, “ABR Spread” or “Facility Fee Rate”, as the case may be, based upon the corresponding Debt Rating as set forth below on such date:</w:t>
      </w:r>
    </w:p>
    <w:p>
      <w:pPr>
        <w:pStyle w:val="TextBody"/>
        <w:bidi w:val="0"/>
        <w:spacing w:before="0" w:after="0"/>
        <w:ind w:left="0" w:right="0" w:firstLine="720"/>
        <w:jc w:val="both"/>
        <w:rPr>
          <w:caps w:val="false"/>
          <w:smallCaps w:val="false"/>
        </w:rPr>
      </w:pPr>
      <w:r>
        <w:rPr>
          <w:caps w:val="false"/>
          <w:smallCaps w:val="false"/>
        </w:rPr>
        <w:t> </w:t>
      </w:r>
    </w:p>
    <w:tbl>
      <w:tblPr>
        <w:tblW w:w="6535" w:type="dxa"/>
        <w:jc w:val="left"/>
        <w:tblInd w:w="-22" w:type="dxa"/>
        <w:tblLayout w:type="fixed"/>
        <w:tblCellMar>
          <w:top w:w="28" w:type="dxa"/>
          <w:left w:w="28" w:type="dxa"/>
          <w:bottom w:w="0" w:type="dxa"/>
          <w:right w:w="28" w:type="dxa"/>
        </w:tblCellMar>
      </w:tblPr>
      <w:tblGrid>
        <w:gridCol w:w="1190"/>
        <w:gridCol w:w="1760"/>
        <w:gridCol w:w="1025"/>
        <w:gridCol w:w="1085"/>
        <w:gridCol w:w="1475"/>
      </w:tblGrid>
      <w:tr>
        <w:trPr/>
        <w:tc>
          <w:tcPr>
            <w:tcW w:w="1190" w:type="dxa"/>
            <w:tcBorders>
              <w:top w:val="double" w:sz="6" w:space="0" w:color="000000"/>
              <w:left w:val="double" w:sz="6" w:space="0" w:color="000000"/>
              <w:right w:val="single" w:sz="8" w:space="0" w:color="000000"/>
            </w:tcBorders>
            <w:vAlign w:val="center"/>
          </w:tcPr>
          <w:p>
            <w:pPr>
              <w:pStyle w:val="TableContents"/>
              <w:bidi w:val="0"/>
              <w:spacing w:before="0" w:after="283"/>
              <w:jc w:val="center"/>
              <w:rPr>
                <w:sz w:val="20"/>
                <w:u w:val="single"/>
              </w:rPr>
            </w:pPr>
            <w:r>
              <w:rPr>
                <w:sz w:val="20"/>
                <w:u w:val="single"/>
              </w:rPr>
              <w:t>Pricing Level</w:t>
            </w:r>
          </w:p>
        </w:tc>
        <w:tc>
          <w:tcPr>
            <w:tcW w:w="1760" w:type="dxa"/>
            <w:tcBorders>
              <w:top w:val="double" w:sz="6"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Debt Ratings</w:t>
            </w:r>
          </w:p>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Moody’s/S&amp;P /Fitch</w:t>
            </w:r>
          </w:p>
        </w:tc>
        <w:tc>
          <w:tcPr>
            <w:tcW w:w="1025" w:type="dxa"/>
            <w:tcBorders>
              <w:top w:val="double" w:sz="6"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 SOFR</w:t>
            </w:r>
          </w:p>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Spread</w:t>
            </w:r>
          </w:p>
        </w:tc>
        <w:tc>
          <w:tcPr>
            <w:tcW w:w="1085" w:type="dxa"/>
            <w:tcBorders>
              <w:top w:val="double" w:sz="6" w:space="0" w:color="000000"/>
              <w:right w:val="single" w:sz="8" w:space="0" w:color="000000"/>
            </w:tcBorders>
            <w:tcMar>
              <w:left w:w="0" w:type="dxa"/>
            </w:tcMar>
            <w:vAlign w:val="center"/>
          </w:tcPr>
          <w:p>
            <w:pPr>
              <w:pStyle w:val="TableContents"/>
              <w:bidi w:val="0"/>
              <w:spacing w:before="0" w:after="283"/>
              <w:jc w:val="center"/>
              <w:rPr>
                <w:sz w:val="20"/>
                <w:u w:val="single"/>
              </w:rPr>
            </w:pPr>
            <w:r>
              <w:rPr>
                <w:sz w:val="20"/>
                <w:u w:val="single"/>
              </w:rPr>
              <w:t>ABR Spread</w:t>
            </w:r>
          </w:p>
        </w:tc>
        <w:tc>
          <w:tcPr>
            <w:tcW w:w="1475" w:type="dxa"/>
            <w:tcBorders>
              <w:top w:val="double" w:sz="6" w:space="0" w:color="000000"/>
              <w:right w:val="double" w:sz="6" w:space="0" w:color="000000"/>
            </w:tcBorders>
            <w:tcMar>
              <w:left w:w="0" w:type="dxa"/>
            </w:tcMar>
            <w:vAlign w:val="center"/>
          </w:tcPr>
          <w:p>
            <w:pPr>
              <w:pStyle w:val="TableContents"/>
              <w:bidi w:val="0"/>
              <w:spacing w:before="0" w:after="283"/>
              <w:jc w:val="center"/>
              <w:rPr>
                <w:sz w:val="20"/>
                <w:u w:val="single"/>
              </w:rPr>
            </w:pPr>
            <w:r>
              <w:rPr>
                <w:sz w:val="20"/>
                <w:u w:val="single"/>
              </w:rPr>
              <w:t>Facility Fee Rate</w:t>
            </w:r>
          </w:p>
        </w:tc>
      </w:tr>
      <w:tr>
        <w:trPr/>
        <w:tc>
          <w:tcPr>
            <w:tcW w:w="1190" w:type="dxa"/>
            <w:tcBorders>
              <w:top w:val="single" w:sz="8" w:space="0" w:color="000000"/>
              <w:left w:val="double" w:sz="6" w:space="0" w:color="000000"/>
              <w:bottom w:val="single" w:sz="8" w:space="0" w:color="000000"/>
              <w:right w:val="single" w:sz="8" w:space="0" w:color="000000"/>
            </w:tcBorders>
            <w:tcMar>
              <w:bottom w:w="28" w:type="dxa"/>
            </w:tcMar>
            <w:vAlign w:val="center"/>
          </w:tcPr>
          <w:p>
            <w:pPr>
              <w:pStyle w:val="TableContents"/>
              <w:bidi w:val="0"/>
              <w:spacing w:before="0" w:after="283"/>
              <w:jc w:val="center"/>
              <w:rPr>
                <w:sz w:val="20"/>
              </w:rPr>
            </w:pPr>
            <w:r>
              <w:rPr>
                <w:sz w:val="20"/>
              </w:rPr>
              <w:t>Level I</w:t>
            </w:r>
          </w:p>
        </w:tc>
        <w:tc>
          <w:tcPr>
            <w:tcW w:w="176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A3/A-/A- or higher</w:t>
            </w:r>
          </w:p>
        </w:tc>
        <w:tc>
          <w:tcPr>
            <w:tcW w:w="10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0.805%</w:t>
            </w:r>
          </w:p>
        </w:tc>
        <w:tc>
          <w:tcPr>
            <w:tcW w:w="10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sz w:val="20"/>
              </w:rPr>
            </w:pPr>
            <w:r>
              <w:rPr>
                <w:sz w:val="20"/>
              </w:rPr>
              <w:t>0.000%</w:t>
            </w:r>
          </w:p>
        </w:tc>
        <w:tc>
          <w:tcPr>
            <w:tcW w:w="1475" w:type="dxa"/>
            <w:tcBorders>
              <w:top w:val="single" w:sz="8" w:space="0" w:color="000000"/>
              <w:bottom w:val="single" w:sz="8" w:space="0" w:color="000000"/>
              <w:right w:val="double" w:sz="6" w:space="0" w:color="000000"/>
            </w:tcBorders>
            <w:tcMar>
              <w:left w:w="0" w:type="dxa"/>
              <w:bottom w:w="28" w:type="dxa"/>
            </w:tcMar>
            <w:vAlign w:val="center"/>
          </w:tcPr>
          <w:p>
            <w:pPr>
              <w:pStyle w:val="TableContents"/>
              <w:bidi w:val="0"/>
              <w:spacing w:before="0" w:after="283"/>
              <w:jc w:val="center"/>
              <w:rPr>
                <w:sz w:val="20"/>
              </w:rPr>
            </w:pPr>
            <w:r>
              <w:rPr>
                <w:sz w:val="20"/>
              </w:rPr>
              <w:t>0.070%</w:t>
            </w:r>
          </w:p>
        </w:tc>
      </w:tr>
      <w:tr>
        <w:trPr/>
        <w:tc>
          <w:tcPr>
            <w:tcW w:w="1190" w:type="dxa"/>
            <w:tcBorders>
              <w:left w:val="double" w:sz="6"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sz w:val="20"/>
              </w:rPr>
            </w:pPr>
            <w:r>
              <w:rPr>
                <w:sz w:val="20"/>
              </w:rPr>
              <w:t>Level II</w:t>
            </w:r>
          </w:p>
        </w:tc>
        <w:tc>
          <w:tcPr>
            <w:tcW w:w="17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20"/>
              </w:rPr>
            </w:pPr>
            <w:r>
              <w:rPr>
                <w:sz w:val="20"/>
              </w:rPr>
              <w:t>Baa1/BBB+/BBB+</w:t>
            </w:r>
          </w:p>
        </w:tc>
        <w:tc>
          <w:tcPr>
            <w:tcW w:w="10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20"/>
              </w:rPr>
            </w:pPr>
            <w:r>
              <w:rPr>
                <w:sz w:val="20"/>
              </w:rPr>
              <w:t>0.920%</w:t>
            </w:r>
          </w:p>
        </w:tc>
        <w:tc>
          <w:tcPr>
            <w:tcW w:w="10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20"/>
              </w:rPr>
            </w:pPr>
            <w:r>
              <w:rPr>
                <w:sz w:val="20"/>
              </w:rPr>
              <w:t>0.000%</w:t>
            </w:r>
          </w:p>
        </w:tc>
        <w:tc>
          <w:tcPr>
            <w:tcW w:w="1475" w:type="dxa"/>
            <w:tcBorders>
              <w:bottom w:val="single" w:sz="8" w:space="0" w:color="000000"/>
              <w:right w:val="double" w:sz="6" w:space="0" w:color="000000"/>
            </w:tcBorders>
            <w:tcMar>
              <w:top w:w="0" w:type="dxa"/>
              <w:left w:w="0" w:type="dxa"/>
              <w:bottom w:w="28" w:type="dxa"/>
            </w:tcMar>
            <w:vAlign w:val="center"/>
          </w:tcPr>
          <w:p>
            <w:pPr>
              <w:pStyle w:val="TableContents"/>
              <w:bidi w:val="0"/>
              <w:spacing w:before="0" w:after="283"/>
              <w:jc w:val="center"/>
              <w:rPr>
                <w:sz w:val="20"/>
              </w:rPr>
            </w:pPr>
            <w:r>
              <w:rPr>
                <w:sz w:val="20"/>
              </w:rPr>
              <w:t>0.080%</w:t>
            </w:r>
          </w:p>
        </w:tc>
      </w:tr>
      <w:tr>
        <w:trPr/>
        <w:tc>
          <w:tcPr>
            <w:tcW w:w="1190" w:type="dxa"/>
            <w:tcBorders>
              <w:left w:val="double" w:sz="6"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sz w:val="20"/>
              </w:rPr>
            </w:pPr>
            <w:r>
              <w:rPr>
                <w:sz w:val="20"/>
              </w:rPr>
              <w:t>Level III</w:t>
            </w:r>
          </w:p>
        </w:tc>
        <w:tc>
          <w:tcPr>
            <w:tcW w:w="17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20"/>
              </w:rPr>
            </w:pPr>
            <w:r>
              <w:rPr>
                <w:sz w:val="20"/>
              </w:rPr>
              <w:t>Baa2/BBB/BBB</w:t>
            </w:r>
          </w:p>
        </w:tc>
        <w:tc>
          <w:tcPr>
            <w:tcW w:w="10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20"/>
              </w:rPr>
            </w:pPr>
            <w:r>
              <w:rPr>
                <w:sz w:val="20"/>
              </w:rPr>
              <w:t>1.025%</w:t>
            </w:r>
          </w:p>
        </w:tc>
        <w:tc>
          <w:tcPr>
            <w:tcW w:w="10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20"/>
              </w:rPr>
            </w:pPr>
            <w:r>
              <w:rPr>
                <w:sz w:val="20"/>
              </w:rPr>
              <w:t>0.025%</w:t>
            </w:r>
          </w:p>
        </w:tc>
        <w:tc>
          <w:tcPr>
            <w:tcW w:w="1475" w:type="dxa"/>
            <w:tcBorders>
              <w:bottom w:val="single" w:sz="8" w:space="0" w:color="000000"/>
              <w:right w:val="double" w:sz="6" w:space="0" w:color="000000"/>
            </w:tcBorders>
            <w:tcMar>
              <w:top w:w="0" w:type="dxa"/>
              <w:left w:w="0" w:type="dxa"/>
              <w:bottom w:w="28" w:type="dxa"/>
            </w:tcMar>
            <w:vAlign w:val="center"/>
          </w:tcPr>
          <w:p>
            <w:pPr>
              <w:pStyle w:val="TableContents"/>
              <w:bidi w:val="0"/>
              <w:spacing w:before="0" w:after="283"/>
              <w:jc w:val="center"/>
              <w:rPr>
                <w:sz w:val="20"/>
              </w:rPr>
            </w:pPr>
            <w:r>
              <w:rPr>
                <w:sz w:val="20"/>
              </w:rPr>
              <w:t>0.100%</w:t>
            </w:r>
          </w:p>
        </w:tc>
      </w:tr>
      <w:tr>
        <w:trPr/>
        <w:tc>
          <w:tcPr>
            <w:tcW w:w="1190" w:type="dxa"/>
            <w:tcBorders>
              <w:left w:val="double" w:sz="6"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sz w:val="20"/>
              </w:rPr>
            </w:pPr>
            <w:r>
              <w:rPr>
                <w:sz w:val="20"/>
              </w:rPr>
              <w:t>Level IV</w:t>
            </w:r>
          </w:p>
        </w:tc>
        <w:tc>
          <w:tcPr>
            <w:tcW w:w="17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20"/>
              </w:rPr>
            </w:pPr>
            <w:r>
              <w:rPr>
                <w:sz w:val="20"/>
              </w:rPr>
              <w:t>Baa3/BBB-/BBB-</w:t>
            </w:r>
          </w:p>
        </w:tc>
        <w:tc>
          <w:tcPr>
            <w:tcW w:w="10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20"/>
              </w:rPr>
            </w:pPr>
            <w:r>
              <w:rPr>
                <w:sz w:val="20"/>
              </w:rPr>
              <w:t>1.100%</w:t>
            </w:r>
          </w:p>
        </w:tc>
        <w:tc>
          <w:tcPr>
            <w:tcW w:w="10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20"/>
              </w:rPr>
            </w:pPr>
            <w:r>
              <w:rPr>
                <w:sz w:val="20"/>
              </w:rPr>
              <w:t>0.100%</w:t>
            </w:r>
          </w:p>
        </w:tc>
        <w:tc>
          <w:tcPr>
            <w:tcW w:w="1475" w:type="dxa"/>
            <w:tcBorders>
              <w:bottom w:val="single" w:sz="8" w:space="0" w:color="000000"/>
              <w:right w:val="double" w:sz="6" w:space="0" w:color="000000"/>
            </w:tcBorders>
            <w:tcMar>
              <w:top w:w="0" w:type="dxa"/>
              <w:left w:w="0" w:type="dxa"/>
              <w:bottom w:w="28" w:type="dxa"/>
            </w:tcMar>
            <w:vAlign w:val="center"/>
          </w:tcPr>
          <w:p>
            <w:pPr>
              <w:pStyle w:val="TableContents"/>
              <w:bidi w:val="0"/>
              <w:spacing w:before="0" w:after="283"/>
              <w:jc w:val="center"/>
              <w:rPr>
                <w:sz w:val="20"/>
              </w:rPr>
            </w:pPr>
            <w:r>
              <w:rPr>
                <w:sz w:val="20"/>
              </w:rPr>
              <w:t>0.150%</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caps w:val="false"/>
          <w:smallCaps w:val="false"/>
        </w:rPr>
        <w:t> </w:t>
      </w:r>
      <w:r>
        <w:rPr/>
        <w:t xml:space="preserve"> </w:t>
      </w:r>
    </w:p>
    <w:tbl>
      <w:tblPr>
        <w:tblW w:w="4870" w:type="dxa"/>
        <w:jc w:val="left"/>
        <w:tblInd w:w="-22" w:type="dxa"/>
        <w:tblLayout w:type="fixed"/>
        <w:tblCellMar>
          <w:top w:w="28" w:type="dxa"/>
          <w:left w:w="28" w:type="dxa"/>
          <w:bottom w:w="28" w:type="dxa"/>
          <w:right w:w="28" w:type="dxa"/>
        </w:tblCellMar>
      </w:tblPr>
      <w:tblGrid>
        <w:gridCol w:w="740"/>
        <w:gridCol w:w="1985"/>
        <w:gridCol w:w="710"/>
        <w:gridCol w:w="710"/>
        <w:gridCol w:w="725"/>
      </w:tblGrid>
      <w:tr>
        <w:trPr/>
        <w:tc>
          <w:tcPr>
            <w:tcW w:w="740" w:type="dxa"/>
            <w:tcBorders>
              <w:top w:val="single" w:sz="8" w:space="0" w:color="000000"/>
              <w:left w:val="double" w:sz="6" w:space="0" w:color="000000"/>
              <w:bottom w:val="double" w:sz="6" w:space="0" w:color="000000"/>
              <w:right w:val="single" w:sz="8" w:space="0" w:color="000000"/>
            </w:tcBorders>
            <w:vAlign w:val="center"/>
          </w:tcPr>
          <w:p>
            <w:pPr>
              <w:pStyle w:val="TableContents"/>
              <w:bidi w:val="0"/>
              <w:spacing w:before="0" w:after="283"/>
              <w:jc w:val="center"/>
              <w:rPr>
                <w:sz w:val="20"/>
              </w:rPr>
            </w:pPr>
            <w:r>
              <w:rPr>
                <w:sz w:val="20"/>
              </w:rPr>
              <w:t>Level V</w:t>
            </w:r>
          </w:p>
        </w:tc>
        <w:tc>
          <w:tcPr>
            <w:tcW w:w="1985" w:type="dxa"/>
            <w:tcBorders>
              <w:top w:val="single" w:sz="8" w:space="0" w:color="000000"/>
              <w:bottom w:val="double" w:sz="6" w:space="0" w:color="000000"/>
              <w:right w:val="single" w:sz="8" w:space="0" w:color="000000"/>
            </w:tcBorders>
            <w:tcMar>
              <w:left w:w="0" w:type="dxa"/>
            </w:tcMar>
            <w:vAlign w:val="center"/>
          </w:tcPr>
          <w:p>
            <w:pPr>
              <w:pStyle w:val="TableContents"/>
              <w:bidi w:val="0"/>
              <w:spacing w:before="0" w:after="283"/>
              <w:jc w:val="center"/>
              <w:rPr>
                <w:sz w:val="20"/>
              </w:rPr>
            </w:pPr>
            <w:r>
              <w:rPr>
                <w:sz w:val="20"/>
              </w:rPr>
              <w:t>Ba1/BB+/BB+ or lower</w:t>
            </w:r>
          </w:p>
        </w:tc>
        <w:tc>
          <w:tcPr>
            <w:tcW w:w="710" w:type="dxa"/>
            <w:tcBorders>
              <w:top w:val="single" w:sz="8" w:space="0" w:color="000000"/>
              <w:bottom w:val="double" w:sz="6" w:space="0" w:color="000000"/>
              <w:right w:val="single" w:sz="8" w:space="0" w:color="000000"/>
            </w:tcBorders>
            <w:tcMar>
              <w:left w:w="0" w:type="dxa"/>
            </w:tcMar>
            <w:vAlign w:val="center"/>
          </w:tcPr>
          <w:p>
            <w:pPr>
              <w:pStyle w:val="TableContents"/>
              <w:bidi w:val="0"/>
              <w:spacing w:before="0" w:after="283"/>
              <w:jc w:val="center"/>
              <w:rPr>
                <w:sz w:val="20"/>
              </w:rPr>
            </w:pPr>
            <w:r>
              <w:rPr>
                <w:sz w:val="20"/>
              </w:rPr>
              <w:t>1.300%</w:t>
            </w:r>
          </w:p>
        </w:tc>
        <w:tc>
          <w:tcPr>
            <w:tcW w:w="710" w:type="dxa"/>
            <w:tcBorders>
              <w:top w:val="single" w:sz="8" w:space="0" w:color="000000"/>
              <w:bottom w:val="double" w:sz="6" w:space="0" w:color="000000"/>
              <w:right w:val="single" w:sz="8" w:space="0" w:color="000000"/>
            </w:tcBorders>
            <w:tcMar>
              <w:left w:w="0" w:type="dxa"/>
            </w:tcMar>
            <w:vAlign w:val="center"/>
          </w:tcPr>
          <w:p>
            <w:pPr>
              <w:pStyle w:val="TableContents"/>
              <w:bidi w:val="0"/>
              <w:spacing w:before="0" w:after="283"/>
              <w:jc w:val="center"/>
              <w:rPr>
                <w:sz w:val="20"/>
              </w:rPr>
            </w:pPr>
            <w:r>
              <w:rPr>
                <w:sz w:val="20"/>
              </w:rPr>
              <w:t>0.300%</w:t>
            </w:r>
          </w:p>
        </w:tc>
        <w:tc>
          <w:tcPr>
            <w:tcW w:w="725" w:type="dxa"/>
            <w:tcBorders>
              <w:top w:val="single" w:sz="8" w:space="0" w:color="000000"/>
              <w:bottom w:val="double" w:sz="6" w:space="0" w:color="000000"/>
              <w:right w:val="double" w:sz="6" w:space="0" w:color="000000"/>
            </w:tcBorders>
            <w:tcMar>
              <w:left w:w="0" w:type="dxa"/>
            </w:tcMar>
            <w:vAlign w:val="center"/>
          </w:tcPr>
          <w:p>
            <w:pPr>
              <w:pStyle w:val="TableContents"/>
              <w:bidi w:val="0"/>
              <w:spacing w:before="0" w:after="283"/>
              <w:jc w:val="center"/>
              <w:rPr>
                <w:sz w:val="20"/>
              </w:rPr>
            </w:pPr>
            <w:r>
              <w:rPr>
                <w:sz w:val="20"/>
              </w:rPr>
              <w:t>0.200%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foregoing, “</w:t>
      </w:r>
      <w:r>
        <w:rPr>
          <w:rFonts w:ascii="Times New Roman;Times;Serif" w:hAnsi="Times New Roman;Times;Serif"/>
          <w:b w:val="false"/>
          <w:i w:val="false"/>
          <w:caps w:val="false"/>
          <w:smallCaps w:val="false"/>
          <w:sz w:val="20"/>
          <w:u w:val="single"/>
        </w:rPr>
        <w:t>Debt Ratings</w:t>
      </w:r>
      <w:r>
        <w:rPr>
          <w:rFonts w:ascii="Times New Roman;Times;Serif" w:hAnsi="Times New Roman;Times;Serif"/>
          <w:b w:val="false"/>
          <w:i w:val="false"/>
          <w:caps w:val="false"/>
          <w:smallCaps w:val="false"/>
          <w:sz w:val="20"/>
        </w:rPr>
        <w:t>” means, as of any date of determination, the available ratings as determined by S&amp;P, Moody’s and/or Fitch of the Index Debt (and “</w:t>
      </w:r>
      <w:r>
        <w:rPr>
          <w:rFonts w:ascii="Times New Roman;Times;Serif" w:hAnsi="Times New Roman;Times;Serif"/>
          <w:b w:val="false"/>
          <w:i w:val="false"/>
          <w:caps w:val="false"/>
          <w:smallCaps w:val="false"/>
          <w:sz w:val="20"/>
          <w:u w:val="single"/>
        </w:rPr>
        <w:t>Debt Rating</w:t>
      </w:r>
      <w:r>
        <w:rPr>
          <w:rFonts w:ascii="Times New Roman;Times;Serif" w:hAnsi="Times New Roman;Times;Serif"/>
          <w:b w:val="false"/>
          <w:i w:val="false"/>
          <w:caps w:val="false"/>
          <w:smallCaps w:val="false"/>
          <w:sz w:val="20"/>
        </w:rPr>
        <w:t xml:space="preserve">” means any one of them);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none of Moody’s, S&amp;P or Fitch shall have in effect a rating for the Index Debt (other than by reason of the circumstances referred to in the last sentence of this definition), then Level V shall be in effect; (b) only one of Moody’s, S&amp;P and Fitch provides a rating for the Index Debt, the Level corresponding to such rating shall be in effect; (c) only two of Moody’s, S&amp;P and Fitch provides a rating for the Index Debt, the Level based on the higher of the two ratings shall apply unless one of the two ratings is two or more Levels lower than the other, in which case the Level then in effect shall be determined by reference to the Level next below that of the higher of the two ratings; (d) the ratings established or deemed to have been established by Moody’s, S&amp;P and Fitch for the Index Debt shall fall within different Levels, the Level then in effect shall be (i) the Level in which two of the ratings fall, or (ii) if there is no such Level, the Level in which the intermediate rating shall fall; and (e) the ratings established or deemed to have been established by Moody’s, S&amp;P and Fitch for the Index Debt shall be changed (other than as a result of a change in the rating system of Moody’s, S&amp;P or Fitch), such change shall be effective as of the date on which it is first announced by the applicable rating agency, irrespective of when notice of such change shall have been furnished by the Company to the Administrative Agent and the Lenders pursuant to Section 5.01(e)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Applicable Rate as of the Effective Date shall be based on the Pricing Level III above. Thereafter, each change in the Applicable Rate shall apply during the period commencing on the effective date of such change and ending on the date immediately preceding the effective date of the next such change. If the rating system of Moody’s, S&amp;P or Fitch shall change, or if any of such rating agencies shall cease to be in the business of rating corporate debt obligations, the Company and the Lenders shall negotiate in good faith to amend the definition of “Applicable Rate”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any other form (including electronic records generated by use of an electronic platform)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Augmenting Lender</w:t>
      </w:r>
      <w:r>
        <w:rPr>
          <w:rFonts w:ascii="Times New Roman;Times;Serif" w:hAnsi="Times New Roman;Times;Serif"/>
          <w:b w:val="false"/>
          <w:i w:val="false"/>
          <w:caps w:val="false"/>
          <w:smallCaps w:val="false"/>
          <w:sz w:val="20"/>
        </w:rPr>
        <w:t>” has the meaning assigned to such term in Section 2.20.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 Period</w:t>
      </w:r>
      <w:r>
        <w:rPr>
          <w:rFonts w:ascii="Times New Roman;Times;Serif" w:hAnsi="Times New Roman;Times;Serif"/>
          <w:b w:val="false"/>
          <w:i w:val="false"/>
          <w:caps w:val="false"/>
          <w:smallCaps w:val="false"/>
          <w:sz w:val="20"/>
        </w:rPr>
        <w:t>” means the period from and including the Effective Date to but excluding the earlier of the Maturity Date and the date of termination of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of America</w:t>
      </w:r>
      <w:r>
        <w:rPr>
          <w:rFonts w:ascii="Times New Roman;Times;Serif" w:hAnsi="Times New Roman;Times;Serif"/>
          <w:b w:val="false"/>
          <w:i w:val="false"/>
          <w:caps w:val="false"/>
          <w:smallCaps w:val="false"/>
          <w:sz w:val="20"/>
        </w:rPr>
        <w:t>” means Bank of America, N.A.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w:t>
      </w:r>
      <w:r>
        <w:rPr>
          <w:rFonts w:ascii="Times New Roman;Times;Serif" w:hAnsi="Times New Roman;Times;Serif"/>
          <w:b w:val="false"/>
          <w:i w:val="false"/>
          <w:caps w:val="false"/>
          <w:smallCaps w:val="false"/>
          <w:sz w:val="20"/>
        </w:rPr>
        <w:t>” means each and any of the following bank services provided to the Company or any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 Agreement</w:t>
      </w:r>
      <w:r>
        <w:rPr>
          <w:rFonts w:ascii="Times New Roman;Times;Serif" w:hAnsi="Times New Roman;Times;Serif"/>
          <w:b w:val="false"/>
          <w:i w:val="false"/>
          <w:caps w:val="false"/>
          <w:smallCaps w:val="false"/>
          <w:sz w:val="20"/>
        </w:rPr>
        <w:t>” means any agreement entered into by the Company or any Subsidiary in connection with Banking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such Person becomes the subject of a voluntary or involuntary bankruptcy or insolvency proceeding, or has had a receiver, conservator, trustee, administrator, examiner,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Governors of the Federal Reserve System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BofA Securities</w:t>
      </w:r>
      <w:r>
        <w:rPr>
          <w:rFonts w:ascii="Times New Roman;Times;Serif" w:hAnsi="Times New Roman;Times;Serif"/>
          <w:b w:val="false"/>
          <w:i w:val="false"/>
          <w:caps w:val="false"/>
          <w:smallCaps w:val="false"/>
          <w:sz w:val="20"/>
        </w:rPr>
        <w:t>” means BofA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means the Company.</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has the meaning assigned to such term in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Revolving Loans of the same Type and Class, made, converted or continued on the same date and, in the case of Term SOFR Loans, as to which a single Interest Period is in effect or (b)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Request</w:t>
      </w:r>
      <w:r>
        <w:rPr>
          <w:rFonts w:ascii="Times New Roman;Times;Serif" w:hAnsi="Times New Roman;Times;Serif"/>
          <w:b w:val="false"/>
          <w:i w:val="false"/>
          <w:caps w:val="false"/>
          <w:smallCaps w:val="false"/>
          <w:sz w:val="20"/>
        </w:rPr>
        <w:t xml:space="preserve">” means (a) with respect to any request for a Borrowing, a request by the Borrower for a Borrowing in accordance with Section 2.03 and (b) with respect to any request for a Swingline Loan, a request by the Borrower for a Swingline Loan in accordance with Section 2.05, in any such case, substantially in the form attached hereto as </w:t>
      </w:r>
      <w:r>
        <w:rPr>
          <w:rFonts w:ascii="Times New Roman;Times;Serif" w:hAnsi="Times New Roman;Times;Serif"/>
          <w:b w:val="false"/>
          <w:i w:val="false"/>
          <w:caps w:val="false"/>
          <w:smallCaps w:val="false"/>
          <w:sz w:val="20"/>
          <w:u w:val="single"/>
        </w:rPr>
        <w:t>Exhibit F-1</w:t>
      </w:r>
      <w:r>
        <w:rPr>
          <w:rFonts w:ascii="Times New Roman;Times;Serif" w:hAnsi="Times New Roman;Times;Serif"/>
          <w:b w:val="false"/>
          <w:i w:val="false"/>
          <w:caps w:val="false"/>
          <w:smallCaps w:val="false"/>
          <w:sz w:val="20"/>
        </w:rPr>
        <w:t xml:space="preserve"> or any form on an electronic platform or electronic transmission system as shall be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Sunday or other day on which commercial banks are authorized to close under the laws of, or are in fact closed in, the state where the Administrative Agent’s Office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 obligations on a balance sheet of such Person under GAAP, and the amount of such obligations shall be the capitalized amount thereof determined in accordance with GAAP. The foregoing is subject to Section 1.04(a).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acquisition of ownership, directly or indirectly, beneficially or of record, by any Person or “group” (within the meaning of the Securities Exchange Act of 1934 and the rules of the SEC thereunder, each as in effect on the Effective Date) of Equity Interests representing more than 50% of the aggregate ordinary voting power represented by the issued and outstanding Equity Interests of the Company, other than any holding company as to which the Company is or becomes a wholly-owned Subsidiary so long as the beneficial ownership (as determined pursuant to Securities and Exchange Act of 1934) of such holding company and, indirectly, the Company, is, immediately after the Company shall become such a wholly-owned Subsidiary of such Person, substantially identical to that of the Company immediately prior to the Company becoming such a wholly-owned Subsidiary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Effective Date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has the meaning assigned to such term in Section 9.15.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Revolving Loans, Swingline Loans or Incremental Term Loans.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CME</w:t>
      </w:r>
      <w:r>
        <w:rPr>
          <w:rFonts w:ascii="Times New Roman;Times;Serif" w:hAnsi="Times New Roman;Times;Serif"/>
          <w:b w:val="false"/>
          <w:i w:val="false"/>
          <w:caps w:val="false"/>
          <w:smallCaps w:val="false"/>
          <w:sz w:val="20"/>
        </w:rPr>
        <w:t>” means CME Group Benchmark Administration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Co-Documentation Agent</w:t>
      </w:r>
      <w:r>
        <w:rPr>
          <w:rFonts w:ascii="Times New Roman;Times;Serif" w:hAnsi="Times New Roman;Times;Serif"/>
          <w:b w:val="false"/>
          <w:i w:val="false"/>
          <w:caps w:val="false"/>
          <w:smallCaps w:val="false"/>
          <w:sz w:val="20"/>
        </w:rPr>
        <w:t>” means each of Citibank, N.A. and Goldman Sachs Bank USA, in its capacity as a co-documentation agent for the revolving credit facility established under this Agreement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reduced, terminated or increased from time to time in accordance with the terms of this Agreement. The initial amount of each Lender’s Commitment is set forth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or in the Assignment and Assumption or record (as such term is defined in Section 9-102(a)(70) of the New York Uniform Commercial Code) as provided in Section 9.04(b)(ii)(C) or other documentation contemplated hereby pursuant to which such Lender shall have assumed its Commitment,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the Borrower pursuant to any Loan Document or the transactions contemplated therein which is distributed by the Administrative Agent, any Lender or any Issuing Bank by means of electronic communications pursuant to Section 8.02(c), including through a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Illumina,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means, with respect to the use, administration of or any conventions associated with SOFR or any proposed Successor Rate or Term SOFR, as applicable, any conforming changes to the definitions of “Alternate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in consultation with the Borrower, is reasonably necessary in connection with the administration of this Agreement and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means, with reference to any period and without duplication, an amount equal to (a) Consolidated Net Income, plus (b) to the extent deducted in determining Consolidated Net Income, (i) Consolidated Interest Expense, (ii) federal, state, local and foreign income, profits, revenue, business activities and capital (other than capital gain or loss) tax expenses, (iii) depreciation, (iv) amortization, (v) non-cash charges, expenses or losses (including any non-cash charges attributable to</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 or other intangible assets or impairment of long-lived assets and non-cash expenses related to equity-based compensation, benefits or incentives and purchase price accounting adjustments), (vi) extraordinary, non-recurring or unusual charges, expenses or losses (including with respect to restructuring activities, consolidations, integration, headcount reductions, cash purchase price payments to holders of accelerated options, restricted stock and other equity awards in connection with acquisitions or other similar actions, including severance charges in respect of employee terminations), (vii) unrealized losses under Swap Agreements, (viii) net after-tax losses (including all fees and expenses or charges relating thereto) on any sale or disposition of any asset of the Company or any of its Subsidiaries outside of the ordinary course of business and net after-tax losses from discontinued operations, (ix) net after-tax losses (including all fees and expenses or charges relating thereto) on the retirement or extinguishment of debt, (x) out-of-pocket fees, expenses and other transaction costs paid to unaffiliated third parties in connection with any actual or proposed Acquisitions, merger, joint venture, other investments, sales or dispositions of assets, incurrence of Indebtedness (or otherwise in connection with any Permitted Receivables Facility) and issuance of Equity Interests or other securities by the Company or any of its Subsidiaries, in each case, whether or not consummated and (xi) charges or losses that are, or could reasonably be expected to be, reimbursed or covered by insurance policies or contractual indemnities and not disputed by the insurer or contractual indemnitor thereunder, in each case so long as such amounts are actually reimbursed to the Company or applicable Subsidiary in cash within two (2) fiscal quarters after the related amount is first added to Consolidated EBITDA pursuant to this clause (xi) (and if not so reimbursed within two (2) fiscal quarters, such amount shall be deducted from Consolidated EBITDA during the next applicable period) minus (c) to the extent included in Consolidated Net Income, (i) interest income, (ii) income tax credits and refunds (to the extent not netted from income tax expense), (iii) any cash payments made during such period in respect of items described in clauses (b)(v) and (b)(xi) above subsequent to the fiscal quarter in which the relevant non-cash expenses or losses were incurred, (iv) non-cash or extraordinary, unusual or non-recurring income or gains, (v) unrealized gains under Swap Agreements, (vi) net after-tax gains (less all fees and expenses or charges relating thereto) on any sale or disposition of any asset of the Company or any of its Subsidiaries outside of the ordinary course of business and net after-tax gains from discontinued operations (without reduction on account of any amounts added back in clause (b)(ii) of this definition), (vii) any net after-tax gains (less and fees and expenses or charges related thereto) on the retirement or extinguishment of debt and (viii) unrealized non-cash gains arising from the revaluation of equity securities, all calculated for the Company and its Subsidiaries in accordance with GAAP on a consolidated basis. For the purposes of calculating Consolidated EBITDA for any period of four consecutive fiscal quarters (each such period, a “</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 (A) if at any time during such Reference Period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(B) if during such Reference Period the Company or any Subsidiary shall have made a Material Acquisition and the Consolidated EBITDA attributable to the property that is the subject of such Material Acquisition is positive for such Reference Period, Consolidated EBITDA for such Reference Period shall be calculated after giving pro forma effect thereto as if such Material Acquisition occurred on the first day of such Reference Period. As used in this definition, “</w:t>
      </w:r>
      <w:r>
        <w:rPr>
          <w:rFonts w:ascii="Times New Roman;Times;Serif" w:hAnsi="Times New Roman;Times;Serif"/>
          <w:b w:val="false"/>
          <w:i w:val="false"/>
          <w:caps w:val="false"/>
          <w:smallCaps w:val="false"/>
          <w:sz w:val="20"/>
          <w:u w:val="single"/>
        </w:rPr>
        <w:t>Material Acquisition</w:t>
      </w:r>
      <w:r>
        <w:rPr>
          <w:rFonts w:ascii="Times New Roman;Times;Serif" w:hAnsi="Times New Roman;Times;Serif"/>
          <w:b w:val="false"/>
          <w:i w:val="false"/>
          <w:caps w:val="false"/>
          <w:smallCaps w:val="false"/>
          <w:sz w:val="20"/>
        </w:rPr>
        <w:t>” means any acquisition of property or series of related acquisitions of property by the Company or any Subsidiary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$100,000,000 (calculated to include the aggregate amount of Indebtedness assumed in connection with such acquisition); and “</w:t>
      </w:r>
      <w:r>
        <w:rPr>
          <w:rFonts w:ascii="Times New Roman;Times;Serif" w:hAnsi="Times New Roman;Times;Serif"/>
          <w:b w:val="false"/>
          <w:i w:val="false"/>
          <w:caps w:val="false"/>
          <w:smallCaps w:val="false"/>
          <w:sz w:val="20"/>
          <w:u w:val="single"/>
        </w:rPr>
        <w:t>Material Disposition</w:t>
      </w:r>
      <w:r>
        <w:rPr>
          <w:rFonts w:ascii="Times New Roman;Times;Serif" w:hAnsi="Times New Roman;Times;Serif"/>
          <w:b w:val="false"/>
          <w:i w:val="false"/>
          <w:caps w:val="false"/>
          <w:smallCaps w:val="false"/>
          <w:sz w:val="20"/>
        </w:rPr>
        <w:t>” means any sale, transfer or disposition of property of the Company or any Subsidiary or series of related sales, transfers, or dispositions of property of the Company or such Subsidiary (other than any transactions between or among the Borrower or any of its Subsidiaries (or any combination thereof)) that yields gross cash proceeds to the Company or any of its Subsidiaries in excess of $100,000,000 in the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on or prior to the consummation thereof (and which, for the avoidance of doubt, shall not include any royalty, earnout, contingent payment or any other deferred payment that may be payable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means, with reference to any period, the excess of (a) the interest expense (including interest expense under Capital Lease Obligations that is treated as interest in accordance with GAAP) of the Company and its Subsidiaries calculated on a consolidated basis for such period with respect to all outstanding Indebtedness of the Company and its Subsidiaries allocable to such period in accordance with GAAP (including (i) all commissions, discounts and other fees and charges owed with respect to letters of credit and bankers’ acceptance financing and net costs under interest rate Swap Agreements to the extent such net costs are allocable to such period in accordance with GAAP, and (ii) any interest, premium payments, debt discount, fees, charges and related expenses in connection with any Permitted Receivables Facility) minus (b) to the extent included in clause (a) above, (i) non-cash amounts attributable to amortization of financing costs paid in a previous period, (ii) non-cash amounts attributable to amortization of debt discounts or accrued interest payable in kind for such period, (iii) any break funding payment made pursuant to Section 2.16, and (iv) any interest expense in respect of any Operating Lease. In the event that the Company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with reference to any period, the net income (or loss) of the Company and its Subsidiaries calculated in accordance with GAAP on a consolidated basis (without duplication) for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be excluded any income (or loss) of any Person other than the Company or a Subsidiary, but any such income so excluded may be included in such period or any later period to the extent of any dividends, distributions or other payments actually paid in cash (or to the extent converted into cash) in the relevant period to the Company or any wholly-owned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Worth</w:t>
      </w:r>
      <w:r>
        <w:rPr>
          <w:rFonts w:ascii="Times New Roman;Times;Serif" w:hAnsi="Times New Roman;Times;Serif"/>
          <w:b w:val="false"/>
          <w:i w:val="false"/>
          <w:caps w:val="false"/>
          <w:smallCaps w:val="false"/>
          <w:sz w:val="20"/>
        </w:rPr>
        <w:t>” means, as of the date of any determination thereof, the consolidated stockholders’ equity of the Company and its Subsidiaries calculated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Indebtedness</w:t>
      </w:r>
      <w:r>
        <w:rPr>
          <w:rFonts w:ascii="Times New Roman;Times;Serif" w:hAnsi="Times New Roman;Times;Serif"/>
          <w:b w:val="false"/>
          <w:i w:val="false"/>
          <w:caps w:val="false"/>
          <w:smallCaps w:val="false"/>
          <w:sz w:val="20"/>
        </w:rPr>
        <w:t xml:space="preserve">” means at any date the sum, without duplication, of (a) the aggregate Indebtedness of the Company and its Subsidiaries (other than intercompany Indebtedness among the Company and its Subsidiaries) that is of a type that would be reflected on a consolidated balance sheet of the Company prepared as of such date in accordance with GAAP, (b) the aggregate amount of Indebtedness of the Company and its Subsidiaries constituting drawn and unreimbursed amounts under all letters of credit, bankers acceptances, bank guarantees and letters of guaranty issued by banks or other financial institutions for the account of the Company or any Subsidiary and (c) Indebtedness of the type referred to in clauses (a) or (b) hereof of another Person (other than the Company or any Subsidiary) guaranteed by the Company or any of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Consolidated Total Indebtedness (i) shall not include obligations in respect of letters of credit, bankers acceptances, bank guarantees, letters of guaranty issued by banks or other financial institutions and similar obligations except to the extent of amounts actually drawn thereunder and not yet cash collateralized or reimbursed by the Company or any Subsidiary and (ii) shall be subject, in all respects, to the limitations and exclusions set forth in the definition of “Indebtedness”, including as to the calculation of the amount of any limited recourse guarantee under clause (c) above. Notwithstanding the foregoing, Consolidated Total Indebtedness shall include all Indebtedness of the Company and its Subsidiaries under any Permitted Receivables Facility (but excluding the intercompany obligations owed by a Special Purpose Finance Subsidiary to the Company or any other Subsidiary in connection therewith).</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Related Party</w:t>
      </w:r>
      <w:r>
        <w:rPr>
          <w:rFonts w:ascii="Times New Roman;Times;Serif" w:hAnsi="Times New Roman;Times;Serif"/>
          <w:b w:val="false"/>
          <w:i w:val="false"/>
          <w:caps w:val="false"/>
          <w:smallCaps w:val="false"/>
          <w:sz w:val="20"/>
        </w:rPr>
        <w:t>” has the meaning assigned to such term in Section 9.03(b).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has the meaning assigned to such term in Section 9.18.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Event</w:t>
      </w:r>
      <w:r>
        <w:rPr>
          <w:rFonts w:ascii="Times New Roman;Times;Serif" w:hAnsi="Times New Roman;Times;Serif"/>
          <w:b w:val="false"/>
          <w:i w:val="false"/>
          <w:caps w:val="false"/>
          <w:smallCaps w:val="false"/>
          <w:sz w:val="20"/>
        </w:rPr>
        <w:t>” means a Borrowing, the issuance, amendment, renewal or extension of a Letter of Credit, or an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any Issuing Bank, the Swingline Lender or any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with respect to any applicable determination date means the SOFR published on such date on the Federal Reserve Bank of New York’s website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Rating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Debt Ratings</w:t>
      </w:r>
      <w:r>
        <w:rPr>
          <w:rFonts w:ascii="Times New Roman;Times;Serif" w:hAnsi="Times New Roman;Times;Serif"/>
          <w:b w:val="false"/>
          <w:i w:val="false"/>
          <w:caps w:val="false"/>
          <w:smallCaps w:val="false"/>
          <w:sz w:val="20"/>
        </w:rPr>
        <w:t>” each has the meaning assigned to such term in the definition of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which constitutes an Event of Default or which upon notice, lapse of time or both would, unless cured or waived,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means, subject to the last paragraph of Section 2.24,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the Swingline Lender or any other Lender any other amount required to be paid by it hereunder (including in respect of its participation in Letters of Credit or Swingline Loans) within two Business Days of the date when due, (b) has notified the Borrower, the Administrative Agent, the Swingline Lender or any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and the Borrower that it will comply with its prospective funding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(A)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(B) an Undisclosed Administration.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the last paragraph of Section 2.24) as of the date established therefor by the Administrative Agent in a written notice of such determination, which shall be delivered by the Administrative Agent to the Borrower, each Issuing Bank, the Swingline Lender and each other Lender promptly following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Disclosed Matters</w:t>
      </w:r>
      <w:r>
        <w:rPr>
          <w:rFonts w:ascii="Times New Roman;Times;Serif" w:hAnsi="Times New Roman;Times;Serif"/>
          <w:b w:val="false"/>
          <w:i w:val="false"/>
          <w:caps w:val="false"/>
          <w:smallCaps w:val="false"/>
          <w:sz w:val="20"/>
        </w:rPr>
        <w:t>” means any event, circumstance, condition or other matter disclosed in the Annual Report on Form 10-K and the Quarterly Report on Form 10-Q, in each case most recently furnished to or filed with the SEC by the Company or any Current Report on Form 8-K furnished to or filed with the SEC by the Company thereafter, in each case, that are publicly available on or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refers to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Copy</w:t>
      </w:r>
      <w:r>
        <w:rPr>
          <w:rFonts w:ascii="Times New Roman;Times;Serif" w:hAnsi="Times New Roman;Times;Serif"/>
          <w:b w:val="false"/>
          <w:i w:val="false"/>
          <w:caps w:val="false"/>
          <w:smallCaps w:val="false"/>
          <w:sz w:val="20"/>
        </w:rPr>
        <w:t>” has the meaning assigned to such term in Section 9.06(b).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Record</w:t>
      </w:r>
      <w:r>
        <w:rPr>
          <w:rFonts w:ascii="Times New Roman;Times;Serif" w:hAnsi="Times New Roman;Times;Serif"/>
          <w:b w:val="false"/>
          <w:i w:val="false"/>
          <w:caps w:val="false"/>
          <w:smallCaps w:val="false"/>
          <w:sz w:val="20"/>
        </w:rPr>
        <w:t>” has the meaning assigned to that term in 15 U.S.C. § 7006.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has the meaning assigned to that term in 15 U.S.C. § 7006.</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laws, rules, regulations, codes, ordinances, or binding orders, decrees, judgments, injunctions, written notices or agreements issued, promulgated or entered into by any Governmental Authority, relating to pollution or protection of the environment, preservation or reclamation of natural resources, the management, release or threatened release of any Hazardous Material, or to the protection of human health and safety in respect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(including any liability for damages, costs of environmental remediation, fines, penalties or indemnities), directly or indirectly resulting from or based upon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 and any warrants, options or other similar rights entitling the holder thereof to purchase or acquire any of the foregoing. Notwithstanding the foregoing, any Indebtedness that is convertible into Equity Interests and/or cash by reference to the value (howsoever defined or determined) of Equity Interests shall not constitute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written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written notice, or the receipt by any Multiemployer Plan from the Company or any ERISA Affiliate of any written notice, concerning the imposition upon the Company or any of its ERISA Affiliates of Withdrawal Liability or a determination that a Multiemployer Plan is, or is expected to be, insolvent within the meaning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assigned to such term in 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means any of the following Taxes imposed on or with respect to a Recipient or required to be withheld or deducted from a payment to a Recipient, (a) Taxes imposed on or measured by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(including a Participant treated as a Lender pursuant to Section 9.04(c)),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Section 2.19(b) or Section 9.02(d))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U.S. federal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means that certain Credit Agreement, dated as of January 4, 2023, among the Borrower, the lenders party thereto, Bank of America, in its capacities as the administrative agent, an issuing bank, and the swingline lender, and the other issuing banks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Maturity Date</w:t>
      </w:r>
      <w:r>
        <w:rPr>
          <w:rFonts w:ascii="Times New Roman;Times;Serif" w:hAnsi="Times New Roman;Times;Serif"/>
          <w:b w:val="false"/>
          <w:i w:val="false"/>
          <w:caps w:val="false"/>
          <w:smallCaps w:val="false"/>
          <w:sz w:val="20"/>
        </w:rPr>
        <w:t>” has the meaning assigned to such term in Section 2.21(a).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Extending Lender</w:t>
      </w:r>
      <w:r>
        <w:rPr>
          <w:rFonts w:ascii="Times New Roman;Times;Serif" w:hAnsi="Times New Roman;Times;Serif"/>
          <w:b w:val="false"/>
          <w:i w:val="false"/>
          <w:caps w:val="false"/>
          <w:smallCaps w:val="false"/>
          <w:sz w:val="20"/>
        </w:rPr>
        <w:t>” has the meaning assigned to such term in Section 2.21(b).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Date</w:t>
      </w:r>
      <w:r>
        <w:rPr>
          <w:rFonts w:ascii="Times New Roman;Times;Serif" w:hAnsi="Times New Roman;Times;Serif"/>
          <w:b w:val="false"/>
          <w:i w:val="false"/>
          <w:caps w:val="false"/>
          <w:smallCaps w:val="false"/>
          <w:sz w:val="20"/>
        </w:rPr>
        <w:t>” has the meaning assigned to such term in Section 2.21(a).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Effective Date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Effective Rate as so determined would be less than zero, such rate shall be deemed to be zero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Officer</w:t>
      </w:r>
      <w:r>
        <w:rPr>
          <w:rFonts w:ascii="Times New Roman;Times;Serif" w:hAnsi="Times New Roman;Times;Serif"/>
          <w:b w:val="false"/>
          <w:i w:val="false"/>
          <w:caps w:val="false"/>
          <w:smallCaps w:val="false"/>
          <w:sz w:val="20"/>
        </w:rPr>
        <w:t>” means the chief financial officer, principal accounting officer, treasurer, assistant treasurer, senior vice president-finance or controller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 if the Borrower is a U.S. Person, a Lender that is not a U.S. Person, and (b) if the Borrower is not a U.S. Person, a Lender that is resident or organized under the laws of a jurisdiction other than that in which the Borrower is resident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Fronting Exposure</w:t>
      </w:r>
      <w:r>
        <w:rPr>
          <w:rFonts w:ascii="Times New Roman;Times;Serif" w:hAnsi="Times New Roman;Times;Serif"/>
          <w:b w:val="false"/>
          <w:i w:val="false"/>
          <w:caps w:val="false"/>
          <w:smallCaps w:val="false"/>
          <w:sz w:val="20"/>
        </w:rPr>
        <w:t>” means, at any time there is a Defaulting Lender, (a) with respect to an Issuing Bank, such Defaulting Lender’s Applicable Percentage of the LC Exposure other than LC Exposure as to which such Defaulting Lender’s participation obligation has been reallocated to other Lenders or cash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by a bank or other financial institution to support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“Guarantee” shall not include endorsements for collection or deposit in the ordinary course of business. The amount of any Guarantee shall be deemed to be an amount equal to the lesser of (a) the stated or determinable amount of the Indebtedness in respect of which such Guarantee is made and (b) the maximum amount for which the guaranteeing Person may be liable pursuant to the terms of the instrument embodying such Guarantee, unless such Indebtedness and the maximum amount for which such guaranteeing Person may be liable are not stated or determinable, in which case the amount of the Guarantee shall be such guaranteeing Person’s maximum reasonably possible liability in respect thereof as reasonably determined by the Company in good faith. The term “Guarantee” used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means International Financial Reporting Standards and applicable accounting requirements (as issued by the International Accounting Standards Board and the International Financial Reporting Standards Interpretations Committee and/or adopted by the European Union) or other generally accepted accounting principles applicable to a Person in a particular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Increasing Lender</w:t>
      </w:r>
      <w:r>
        <w:rPr>
          <w:rFonts w:ascii="Times New Roman;Times;Serif" w:hAnsi="Times New Roman;Times;Serif"/>
          <w:b w:val="false"/>
          <w:i w:val="false"/>
          <w:caps w:val="false"/>
          <w:smallCaps w:val="false"/>
          <w:sz w:val="20"/>
        </w:rPr>
        <w:t>” has the meaning assigned to such term in Section 2.20.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Facility Amendment</w:t>
      </w:r>
      <w:r>
        <w:rPr>
          <w:rFonts w:ascii="Times New Roman;Times;Serif" w:hAnsi="Times New Roman;Times;Serif"/>
          <w:b w:val="false"/>
          <w:i w:val="false"/>
          <w:caps w:val="false"/>
          <w:smallCaps w:val="false"/>
          <w:sz w:val="20"/>
        </w:rPr>
        <w:t>” means an amendment to this Agreement that is reasonably satisfactory to the Administrative Agent (solely for purposes of giving effect to Section 2.20) and the Borrower executed by the Borrower, the Administrative Agent, each Increasing Lender and each Augmenting Lender,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w:t>
      </w:r>
      <w:r>
        <w:rPr>
          <w:rFonts w:ascii="Times New Roman;Times;Serif" w:hAnsi="Times New Roman;Times;Serif"/>
          <w:b w:val="false"/>
          <w:i w:val="false"/>
          <w:caps w:val="false"/>
          <w:smallCaps w:val="false"/>
          <w:sz w:val="20"/>
        </w:rPr>
        <w:t>” has the meaning assigned to such term in Section 2.20.</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 (a) all obligations of such Person for borrowed money, (b) the principal amount of all obligations of such Person evidenced by bonds, debentures, notes or similar instruments, (c) all obligations of such Person under conditional sale or other title retention agreements relating to property acquired by such Person (excluding accounts payable and accrued expenses incurred in the ordinary course of business and other than customary reservations or retentions of title under agreements with suppliers entered in the ordinary course of business), (d) all obligations of such Person in respect of the deferred purchase price of property or services (excluding accounts payable and accrued expenses incurred in the ordinary course of business), (e) all Indebtedness of others secured by (or for which the holder of such Indebtedness has an existing unconditional right to be secured by) any Lien on property owned or acquired by such Person, whether or not the Indebtedness secured thereby has been assumed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Company’s good faith estimate)), (f) all Guarantees by such Person of Indebtedness of others, (g) all Capital Lease Obligations of such Person, (h) all obligations, contingent or otherwise, of such Person as an account party in respect of letters of credit and letters of guaranty issued by banks or other financial institutions, (i) all obligations, contingent or otherwise, of such Person in respect of bankers’ acceptances, (j) all obligations of such Person under Sale and Leaseback Transactions and (k) all obligations of such Person under any Permitted Receivables Facility (but excluding intercompany obligations owed by a Special Purpose Finance Subsidiary to the Company or any other Subsidiary in connection therewith).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 (y) the fair market value of such identified asset as determined by such Person in good faith. Notwithstanding anything to the contrary in this definition, the term “Indebtedness” shall not include (i) deferred or prepaid revenue, (ii) purchase price holdbacks to satisfy warranty or other unperformed obligations of a seller, (iii) obligations arising under any Swap Agreement, (iv) contingent or deferred payment obligations (including any purchase price adjustments, indemnification obligations, reimbursement obligations, funding or investment commitments, or earn-out, non-compete, consulting, royalty, milestone, option, development or other incentive payment obligations) with respect to any Acquisition, disposition, other acquisition of assets or other business combination and (v) all obligations of such Person under or relating to any 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the Borrower under any Loan Document and (b) to the extent not otherwise described in clause (a) hereof,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has the meaning assigned to such term in Section 9.03(b).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Index Debt</w:t>
      </w:r>
      <w:r>
        <w:rPr>
          <w:rFonts w:ascii="Times New Roman;Times;Serif" w:hAnsi="Times New Roman;Times;Serif"/>
          <w:b w:val="false"/>
          <w:i w:val="false"/>
          <w:caps w:val="false"/>
          <w:smallCaps w:val="false"/>
          <w:sz w:val="20"/>
        </w:rPr>
        <w:t>” means senior, unsecured, long-term indebtedness for borrowed money of the Company that is not guaranteed by any other person or entity or subject to any other credit enhancement.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means (a) a natural person, (b) a Defaulting Lender or its Lender Parent, (c) the Company, any of its Subsidiaries or any of its Affiliates, or (d) a company, investment vehicle or trust for, or owned and operated for the primary benefit of, one or more natural persons or relatives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has the meaning assigned to such term in Section 9.12.</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Election Request</w:t>
      </w:r>
      <w:r>
        <w:rPr>
          <w:rFonts w:ascii="Times New Roman;Times;Serif" w:hAnsi="Times New Roman;Times;Serif"/>
          <w:b w:val="false"/>
          <w:i w:val="false"/>
          <w:caps w:val="false"/>
          <w:smallCaps w:val="false"/>
          <w:sz w:val="20"/>
        </w:rPr>
        <w:t xml:space="preserve">” means a request by the Borrower to convert or continue a Revolving Borrowing in accordance with Section 2.08, which shall be substantially in the form attached hereto as </w:t>
      </w:r>
      <w:r>
        <w:rPr>
          <w:rFonts w:ascii="Times New Roman;Times;Serif" w:hAnsi="Times New Roman;Times;Serif"/>
          <w:b w:val="false"/>
          <w:i w:val="false"/>
          <w:caps w:val="false"/>
          <w:smallCaps w:val="false"/>
          <w:sz w:val="20"/>
          <w:u w:val="single"/>
        </w:rPr>
        <w:t>Exhibit F-2</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xml:space="preserve">” means: (a) as to any Loan other than a ABR Loan, the last day of each Interest Period applicable to such Loan and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Interest Period for a Term SOFR Loan exceeds three months, the respective dates that fall every three months after the beginning of such Interest Period shall also be Interest Payment Dates; and (b) as to any ABR Loan (including a Swingline Loan), the last Business Day of each March, June, September and December and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as to each Term SOFR Loan, the period commencing on the date such Term SOFR Loan is disbursed or converted to or continued as a Term SOFR Loan and ending on the date one, three or six months thereafter, as selected by the Borrower in its Borrowing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Interest Period shall extend beyond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means Bank of America (through itself or through one of its designated Affiliates or branch offices) and each other Lender designated by the Company as an “Issuing Bank” hereunder that has agreed to such designation (and is reasonably acceptable to the Administrative Agent), each in its capacity as an issuer of Letters of Credit hereunder, and its successors in such capacity as provided in Section 2.06(i). Each Issuing Bank may, in its discretion, arrange for one or more Letters of Credit to be issued by Affiliates of such Issuing Bank, in which case the term “Issuing Bank” shall include any such Affiliate with respect to Letters of Credit issued by such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Rating</w:t>
      </w:r>
      <w:r>
        <w:rPr>
          <w:rFonts w:ascii="Times New Roman;Times;Serif" w:hAnsi="Times New Roman;Times;Serif"/>
          <w:b w:val="false"/>
          <w:i w:val="false"/>
          <w:caps w:val="false"/>
          <w:smallCaps w:val="false"/>
          <w:sz w:val="20"/>
        </w:rPr>
        <w:t>” means, as applicable, (a) a Debt Rating of Baa3 or better from Moody’s, (b) a Debt Rating of BBB- or better from S&amp;P, and (c) a Debt Rating of BBB- or better from Fitch.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Bookrunner</w:t>
      </w:r>
      <w:r>
        <w:rPr>
          <w:rFonts w:ascii="Times New Roman;Times;Serif" w:hAnsi="Times New Roman;Times;Serif"/>
          <w:b w:val="false"/>
          <w:i w:val="false"/>
          <w:caps w:val="false"/>
          <w:smallCaps w:val="false"/>
          <w:sz w:val="20"/>
        </w:rPr>
        <w:t>” means each of BofA Securities, JPMorgan Chase Bank, N.A., Citibank, N.A., and Goldman Sachs Bank USA, in its capacities as a joint bookrunner and joint lead arranger for the revolving credit facility established under this Agreement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Collateral Account</w:t>
      </w:r>
      <w:r>
        <w:rPr>
          <w:rFonts w:ascii="Times New Roman;Times;Serif" w:hAnsi="Times New Roman;Times;Serif"/>
          <w:b w:val="false"/>
          <w:i w:val="false"/>
          <w:caps w:val="false"/>
          <w:smallCaps w:val="false"/>
          <w:sz w:val="20"/>
        </w:rPr>
        <w:t>” has the meaning assigned to such term in Section 2.06(j).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Disbursement</w:t>
      </w:r>
      <w:r>
        <w:rPr>
          <w:rFonts w:ascii="Times New Roman;Times;Serif" w:hAnsi="Times New Roman;Times;Serif"/>
          <w:b w:val="false"/>
          <w:i w:val="false"/>
          <w:caps w:val="false"/>
          <w:smallCaps w:val="false"/>
          <w:sz w:val="20"/>
        </w:rPr>
        <w:t>” means a payment made by an Issuing Bank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Exposure</w:t>
      </w:r>
      <w:r>
        <w:rPr>
          <w:rFonts w:ascii="Times New Roman;Times;Serif" w:hAnsi="Times New Roman;Times;Serif"/>
          <w:b w:val="false"/>
          <w:i w:val="false"/>
          <w:caps w:val="false"/>
          <w:smallCaps w:val="false"/>
          <w:sz w:val="20"/>
        </w:rPr>
        <w:t>” means, at any time, the sum of (a) the aggregate undrawn amount of all outstanding Letters of Credit at such time plus (b) the aggregate amount of all LC Disbursements that have not yet been reimbursed by or on behalf of the Company at such time. The LC Exposure of any Lender at any time shall be its Applicable Percentage of the total LC Exposure at such time.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Notice Date</w:t>
      </w:r>
      <w:r>
        <w:rPr>
          <w:rFonts w:ascii="Times New Roman;Times;Serif" w:hAnsi="Times New Roman;Times;Serif"/>
          <w:b w:val="false"/>
          <w:i w:val="false"/>
          <w:caps w:val="false"/>
          <w:smallCaps w:val="false"/>
          <w:sz w:val="20"/>
        </w:rPr>
        <w:t>” has the meaning assigned to such term in Section 2.21(b).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Parent</w:t>
      </w:r>
      <w:r>
        <w:rPr>
          <w:rFonts w:ascii="Times New Roman;Times;Serif" w:hAnsi="Times New Roman;Times;Serif"/>
          <w:b w:val="false"/>
          <w:i w:val="false"/>
          <w:caps w:val="false"/>
          <w:smallCaps w:val="false"/>
          <w:sz w:val="20"/>
        </w:rPr>
        <w:t>” means, with respect to any Lender, any Person as to which such Lender is, directly or indirectly,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means the Persons listed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xml:space="preserve"> and any other Person that shall have become a Lender hereunder pursuant to Section 2.19, 2.20 or 2.21 or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Swingline Lender and the Issuing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means any standby letter of credit issued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Agreement</w:t>
      </w:r>
      <w:r>
        <w:rPr>
          <w:rFonts w:ascii="Times New Roman;Times;Serif" w:hAnsi="Times New Roman;Times;Serif"/>
          <w:b w:val="false"/>
          <w:i w:val="false"/>
          <w:caps w:val="false"/>
          <w:smallCaps w:val="false"/>
          <w:sz w:val="20"/>
        </w:rPr>
        <w:t>” has the meaning assigned to such term in Section 2.06(b).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 any mortgage, deed of trust, lien, pledge, hypothecation, encumbrance, charge or security interest in, on or of such asset and (b) the interest of a vendor or a lessor under any conditional sale agreement, capital lease, ground lease, master lease or title retention agreement (or any financing lease having substantially the same economic effect as any of the foregoing) relating to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this Agreement, any promissory notes issued pursuant to Section 2.10(e) and any Letter of Credit Agreements. Any reference in this Agreement or any other Loan Document to a Loan Document shall include all appendices, exhibits or schedules thereto, and all amendments, restatements, supplements or other modifications thereto (including any Incremental Facility Amendment), and shall refer to this Agreement or such Loan Document as the same may be in effect at any and all times such reference becomes operative.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the loans made by the Lenders to the Borrower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Time</w:t>
      </w:r>
      <w:r>
        <w:rPr>
          <w:rFonts w:ascii="Times New Roman;Times;Serif" w:hAnsi="Times New Roman;Times;Serif"/>
          <w:b w:val="false"/>
          <w:i w:val="false"/>
          <w:caps w:val="false"/>
          <w:smallCaps w:val="false"/>
          <w:sz w:val="20"/>
        </w:rPr>
        <w:t>” means New York City time in the case of a Loan, Borrowing or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(a) the business, results of operations or financial condition of the Company and the Subsidiaries taken as a whole, (b) the ability of the Company to perform its payment obligations under this Agreement or (c) the material rights or remedies of the Administrative Agent and the Lenders under the Loan Documents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means Indebtedness (other than the Loans and Letters of Credit and other than any intercompany indebtedness), or obligations in respect of one or more Swap Agreements, of any one or more of the Borrower or any Subsidiary in an aggregate principal amount exceeding $250,000,000.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Subsidiary</w:t>
      </w:r>
      <w:r>
        <w:rPr>
          <w:rFonts w:ascii="Times New Roman;Times;Serif" w:hAnsi="Times New Roman;Times;Serif"/>
          <w:b w:val="false"/>
          <w:i w:val="false"/>
          <w:caps w:val="false"/>
          <w:smallCaps w:val="false"/>
          <w:sz w:val="20"/>
        </w:rPr>
        <w:t>” means, at any time of determination, each Subsidiary which, as of the most recent fiscal year of the Company, for the period of four consecutive fiscal quarters then ended, for which financial statements have been delivered pursuant to Section 5.01(a) (or, prior to the first delivery of such financial statements after the Effective Date, the last fiscal year of the Company included in the financial statements referred to in Section 3.04(a)(i)), contributed greater than ten percent (10%) of Consolidated EBITDA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means August 13, 2031 subject to extension (in the case of each Lender consenting thereto) as provided in Section 2.21;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that if such date is not a Business Day, the Maturity Date shall be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has the meaning assigned to such term in Section 9.15.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has the meaning assigned to such term in Section 9.02(d).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Non-Extending Lender</w:t>
      </w:r>
      <w:r>
        <w:rPr>
          <w:rFonts w:ascii="Times New Roman;Times;Serif" w:hAnsi="Times New Roman;Times;Serif"/>
          <w:b w:val="false"/>
          <w:i w:val="false"/>
          <w:caps w:val="false"/>
          <w:smallCaps w:val="false"/>
          <w:sz w:val="20"/>
        </w:rPr>
        <w:t>” has the meaning assigned to such term in Section 2.21(b).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has the meaning assigned to such term in Section 9.01(e).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examinership, receivership or other similar proceeding, regardless of whether allowed or allowable in such proceeding), obligations and liabilities of any of the Company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Operating Lease</w:t>
      </w:r>
      <w:r>
        <w:rPr>
          <w:rFonts w:ascii="Times New Roman;Times;Serif" w:hAnsi="Times New Roman;Times;Serif"/>
          <w:b w:val="false"/>
          <w:i w:val="false"/>
          <w:caps w:val="false"/>
          <w:smallCaps w:val="false"/>
          <w:sz w:val="20"/>
        </w:rPr>
        <w:t>” means any arrangement that is accounted for as an operating lease for purposes of the Loan Documents pursuant to Section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to, any Loan Document, except any such Taxes that are Other Connection Taxes imposed with respect to an assignment (other than an assignment made pursuant to Section 2.19).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Bank Funding Rate</w:t>
      </w:r>
      <w:r>
        <w:rPr>
          <w:rFonts w:ascii="Times New Roman;Times;Serif" w:hAnsi="Times New Roman;Times;Serif"/>
          <w:b w:val="false"/>
          <w:i w:val="false"/>
          <w:caps w:val="false"/>
          <w:smallCaps w:val="false"/>
          <w:sz w:val="20"/>
        </w:rPr>
        <w:t>” means, for any day, the greater of (a) the Federal Funds Effective Rate and (b) an overnight rate determined by the Administrative Agent, the applicable Issuing Bank or the Swingline Lender, as the case may be,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has the meaning assigned to such term in Section 9.04(c).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has the meaning assigned to such term in Section 9.04(c).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means the USA PATRIOT Act (Title III of Pub. L. 107-56 (signed into law October 26,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referred to and defined in ERISA and any successor entity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imposed by law for Taxes that have not yet been paid (to the extent such non-payment does not violate Section 5.04) or are being contested in compliance with Section 5.04, and Liens for unpaid utility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carriers’, warehousemen’s, mechanics’, materialmen’s, repairmen’s, supplier’s and other like Liens imposed by law, arising in the ordinary course of business and securing obligations that are not overdue by more than ninety (90) days (or if more than 90 days overdue, are unfiled and no other action has been taken to enforce such Liens) or are being contested in compliance with Section 5.04;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pledges and deposits made in the ordinary course of business in connection with workers’ compensation, unemployment insurance and other social security or retirement benefits laws or regulations or employment laws, to secure liability to insurance carriers under insurance or self-insurance arrangements or to secure other public, statutory or regulatory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pledges and deposits to secure the performance of bids, trade contracts, government contracts, leases, statutory obligations, customer deposits and advances, surety, customs and appeal bonds, performance and completion bonds and other obligations of a like nature, in each case in the ordinary course of business, and Liens to secure letters of credit or bank guarantees supporting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Lien granted or arising in connection with any legal proceeding (including judgment Liens) to the extent such proceeding has not resulted in an Event of Default under clause (k) of Article VII or Liens securing appeal or surety bonds related to such legal proceedings or judgments;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interest or title of, and other statutory and common law liens of, a landlord, lessor or sublessor under any lease or sublease or any Lien affecting solely the interest of the landlord, lessor or sublessor;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leases, licenses, subleases or sublicenses (i) that are granted to others and do not adversely interfere in any material respect with the business of the Company and its Subsidiaries as conducted at the time granted, taken as a whole, (ii) solely between or among the Borrower or any of its Subsidiaries (or any combination thereof) or (iii) granted to other Persons and not prohibited under Section 6.03;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purported Liens evidenced by the filing of precautionary UCC financing statements or similar filings relating to operating leases of personal property entered into by the Company or any of its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interest or title of a licensor under any license or sublicense entered into by the Company or any Subsidiary as a licensee or sublicensee (i) existing on the Effective Date, (ii) in the ordinary course of its business or (iii) not otherwise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 respect to any real property, immaterial title defects or irregularities that do not materially impair the use of such real property;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security interest created in connection with the sale, discount or guarantee of notes, chattel mortgages, leases, accounts receivable, trade acceptances or other paper, or contingent repurchase obligations,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Receivables Facility</w:t>
      </w:r>
      <w:r>
        <w:rPr>
          <w:rFonts w:ascii="Times New Roman;Times;Serif" w:hAnsi="Times New Roman;Times;Serif"/>
          <w:b w:val="false"/>
          <w:i w:val="false"/>
          <w:caps w:val="false"/>
          <w:smallCaps w:val="false"/>
          <w:sz w:val="20"/>
        </w:rPr>
        <w:t xml:space="preserve">” means any one or more receivables financings of the Company or any Subsidiary thereof in which the Company or such Subsidiary sells, conveys or otherwise contributes Permitted Securitization Transferred Assets to a Special Purpose Finance Subsidiary, which Special Purpose Finance Subsidiary then (a) sells (as determined in accordance with GAAP) any such Permitted Securitization Transferred Assets (or an interest therein) to one or more Receivables Financiers, (b) borrows from such Receivables Financiers and secures such borrowings by a pledge of such Permitted Securitization Transferred Assets or (c) otherwise finances its acquisition of such Permitted Securitization Transferred Assets and, in connection therewith, conveys an interest in such Permitted Securitization Transferred Assets (and possibly all of the Special Purpose Finance Subsidiary’s property and assets) to such Receivables Financiers;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receivables financing shall not involve any recourse to the Company or any of its other Subsidiaries (other than the Special Purpose Finance Subsidiary) for any reason other than (A) repurchases of non-eligible receivables and related assets, (B) customary indemnifications (which shall in no event include indemnification for credit losses on Permitted Securitization Transferred Assets sold to the Special Purpose Finance Subsidiary) and (C) a customary limited recourse guaranty by the Company of the obligations of any Subsidiary thereof becoming an originator under such Permitted Receivables Facility delivered in favor of the Special Purpose Finance Subsidiary, (ii) the Administrative Agent shall be reasonably satisfied with the structure of, and documentation for, any such transaction and that the terms of such transaction, including the discount at which receivables are sold, the term of the commitment of the Receivables Financier thereunder and any termination events, shall be (in the good faith understanding of the Administrative Agent) consistent with those prevailing in the market for similar transactions involving a receivables originator/servicer of similar credit quality and a receivables pool of similar characteristics, and (iii) the documentation for such transaction shall not be amended or modified in any material respect without the prior written approval of the Administrative Agent (not to be unreasonably withheld, delayed or conditioned), subject, in the case of any such facility under which a Subsidiary that is organized in a jurisdiction other than the United States, any State thereof or the District of Columbia is the seller, conveyor or contributor of Permitted Securitization Transferred Assets, to variances to the foregoing that are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under the laws and procedures of the foreign jurisdiction to which such facility is subject and that are acceptable to the Administrative Agent (acting reasonably).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Restructurings</w:t>
      </w:r>
      <w:r>
        <w:rPr>
          <w:rFonts w:ascii="Times New Roman;Times;Serif" w:hAnsi="Times New Roman;Times;Serif"/>
          <w:b w:val="false"/>
          <w:i w:val="false"/>
          <w:caps w:val="false"/>
          <w:smallCaps w:val="false"/>
          <w:sz w:val="20"/>
        </w:rPr>
        <w:t>” means a transaction or series of transactions pursuant to which direct and indirect Subsidiaries of the Company are converted, restructured or reorganized for tax planning or due to changes or potential changes in any relevant legal or regulatory framework, whether by (a) transfer, (b) acquisition, (c) contribution, (d) merger, (e) consolidation, (f) voluntary dissolution, (g) liquidation, (h) recapitalization, (i) change in identity, form, place of organization, incorporation, domicile or, to the extent relevant and subject to Section 5.03(b) or (j) otherwise, in each case the result of which may cause a direct or indirect sale, assignment or transfer of Equity Interests and/or other assets between and among the Company and/or various Subsidiaries of the Company, and in each case to the extent the Administrative Agent (acting in its reasonable credit judgment) approves such Permitted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Securitization Transferred Assets</w:t>
      </w:r>
      <w:r>
        <w:rPr>
          <w:rFonts w:ascii="Times New Roman;Times;Serif" w:hAnsi="Times New Roman;Times;Serif"/>
          <w:b w:val="false"/>
          <w:i w:val="false"/>
          <w:caps w:val="false"/>
          <w:smallCaps w:val="false"/>
          <w:sz w:val="20"/>
        </w:rPr>
        <w:t>” means, with respect to the Company or any Subsidiary (other than a Special Purpose Finance Subsidiary), the Company’s or such Subsidiary’s accounts receivable, notes receivable or residuals, together with certain assets relating thereto (including any deposit accounts receiving collection on such receivables, but only to the extent of such receivables) and the right to collections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xml:space="preserve">” means 29 CFR § 2510.3-101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modified by Section 3(42) of ERISA,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has the meaning assigned to such term in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Priority Indebtedness</w:t>
      </w:r>
      <w:r>
        <w:rPr>
          <w:rFonts w:ascii="Times New Roman;Times;Serif" w:hAnsi="Times New Roman;Times;Serif"/>
          <w:b w:val="false"/>
          <w:i w:val="false"/>
          <w:caps w:val="false"/>
          <w:smallCaps w:val="false"/>
          <w:sz w:val="20"/>
        </w:rPr>
        <w:t>” means (a) Indebtedness of the Company or any Subsidiary secured by any Lien on any asset(s) of the Company or any Subsidiary and (b) unsecured Indebtedness of any Subsidiary, in each case owing to a Person other than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has the meaning assigned to such term in Section 9.18.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Acquisition</w:t>
      </w:r>
      <w:r>
        <w:rPr>
          <w:rFonts w:ascii="Times New Roman;Times;Serif" w:hAnsi="Times New Roman;Times;Serif"/>
          <w:b w:val="false"/>
          <w:i w:val="false"/>
          <w:caps w:val="false"/>
          <w:smallCaps w:val="false"/>
          <w:sz w:val="20"/>
        </w:rPr>
        <w:t xml:space="preserve">” mean any Acquisition involving the payment of total consideration in excess of $500,000,000 by the Company or any of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less than $250,000,000 of such total consideration is in the form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Acquisition Debt</w:t>
      </w:r>
      <w:r>
        <w:rPr>
          <w:rFonts w:ascii="Times New Roman;Times;Serif" w:hAnsi="Times New Roman;Times;Serif"/>
          <w:b w:val="false"/>
          <w:i w:val="false"/>
          <w:caps w:val="false"/>
          <w:smallCaps w:val="false"/>
          <w:sz w:val="20"/>
        </w:rPr>
        <w:t>” means any Indebtedness of the Company or any of its Subsidiaries that has been issued or incurred for the purpose of financing, in whole or in part, a Qualified Acquisition and any related transactions or series of related transactions (including for the purpose of refinancing 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replacing all or a portion of any pre-existing Indebtedness of the Company, any of its Subsidiaries or the Person(s) or assets to be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Financier</w:t>
      </w:r>
      <w:r>
        <w:rPr>
          <w:rFonts w:ascii="Times New Roman;Times;Serif" w:hAnsi="Times New Roman;Times;Serif"/>
          <w:b w:val="false"/>
          <w:i w:val="false"/>
          <w:caps w:val="false"/>
          <w:smallCaps w:val="false"/>
          <w:sz w:val="20"/>
        </w:rPr>
        <w:t>” means one or more Persons who are not Subsidiaries or Affiliates of the Company and who are regularly engaged in the business of receivables securitization, which may include one or more asset-backed commercial paper conduits or commercial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(a) the Administrative Agent, (b) any Lender and (c) any Issuing Bank,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has the meaning assigned to such term in Section 9.04(b).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Communication</w:t>
      </w:r>
      <w:r>
        <w:rPr>
          <w:rFonts w:ascii="Times New Roman;Times;Serif" w:hAnsi="Times New Roman;Times;Serif"/>
          <w:b w:val="false"/>
          <w:i w:val="false"/>
          <w:caps w:val="false"/>
          <w:smallCaps w:val="false"/>
          <w:sz w:val="20"/>
        </w:rPr>
        <w:t>” has the meaning assigned to such term in Section 9.06(b).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specified Person, such Person’s Affiliates and the respective partners, directors, officers, managers, employees, trustees, administrators, consultants, service providers, representatives, agents and advisors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Removal Effective Date</w:t>
      </w:r>
      <w:r>
        <w:rPr>
          <w:rFonts w:ascii="Times New Roman;Times;Serif" w:hAnsi="Times New Roman;Times;Serif"/>
          <w:b w:val="false"/>
          <w:i w:val="false"/>
          <w:caps w:val="false"/>
          <w:smallCaps w:val="false"/>
          <w:sz w:val="20"/>
        </w:rPr>
        <w:t>” has the meaning assigned to such term in Section 8.01(g).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at any time, Lenders having Revolving Credit Exposures and Unfunded Commitments representing more than 50% of the sum of the Total Revolving Credit Exposure and Unfunded Commitments at such time, except the Total Revolving Credit Exposure and Unfunded Commitments of any Defaulting Lender shall be disregarded in determining Required Lenders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any participation in any Unreimbursed Amounts that such Defaulting Lender has failed to fund that have not been reallocated to and funded by another Lender shall be deemed to be held by the Lender that is the applicable Issuing Bank, as the case may be, in making such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for purposes of declaring the Loans to be due and payable pursuant to Article VII, and for all purposes after the Loans become due and payable pursuant to Article VII or the Commitments expire or terminate, then, as to each Lender, the Unfunded Commitment of each Lender shall be deemed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Rescindable Amount</w:t>
      </w:r>
      <w:r>
        <w:rPr>
          <w:rFonts w:ascii="Times New Roman;Times;Serif" w:hAnsi="Times New Roman;Times;Serif"/>
          <w:b w:val="false"/>
          <w:i w:val="false"/>
          <w:caps w:val="false"/>
          <w:smallCaps w:val="false"/>
          <w:sz w:val="20"/>
        </w:rPr>
        <w:t>” has the meaning assigned to such term in Section 2.18(d).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has the meaning assigned to such term in Section 8.01(f).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(a) the chief executive officer, president, a Financial Officer or chief legal officer of the Company or any other Person designated by any such Person in writing to the Administrative Agent and reasonably acceptable to the Administrative Agent and (b) solely for purposes of notices given pursuant to Article II,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Exposure</w:t>
      </w:r>
      <w:r>
        <w:rPr>
          <w:rFonts w:ascii="Times New Roman;Times;Serif" w:hAnsi="Times New Roman;Times;Serif"/>
          <w:b w:val="false"/>
          <w:i w:val="false"/>
          <w:caps w:val="false"/>
          <w:smallCaps w:val="false"/>
          <w:sz w:val="20"/>
        </w:rPr>
        <w:t>” means, with respect to any Lender at any time, the sum of the outstanding principal amount of such Lender’s Revolving Loans, its LC Exposure and its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means a Loan made pursuant to 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Financial Services LLC, a subsidiary of S&amp;P Global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means any sale or other transfer of any property or asset by any Person with the intent to lease such property or asset as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Same Day Funds</w:t>
      </w:r>
      <w:r>
        <w:rPr>
          <w:rFonts w:ascii="Times New Roman;Times;Serif" w:hAnsi="Times New Roman;Times;Serif"/>
          <w:b w:val="false"/>
          <w:i w:val="false"/>
          <w:caps w:val="false"/>
          <w:smallCaps w:val="false"/>
          <w:sz w:val="20"/>
        </w:rPr>
        <w:t>” means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comprehensive Sanctions (solely consisting of, as of the Effective Date, the so-called Donetsk People’s Republic, the so-called Luhansk People’s Republic, the Crimea Region of Ukraine, Cuba, Iran, and North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any Sanctions-related list of designated Persons maintained by OFAC, the U.S. Department of State, the United Nations Security Council, the European Union, any European Union member state or His Majesty’s Treasury of the United Kingdom, (b) any Person located, organized or resident in a Sanctioned Country (unless such Person has an appropriate license to transact business in such country or territory or otherwise is permitted to reside or be organized in such country or territory without violating any Sanctions), (c) any Person owned 50% or more or controlled by any such Person or Persons described in the foregoing clauses (a) or (b) or (d) any Person with whom dealings are prohibited by any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His Majesty’s Treasury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Scheduled Unavailability Date</w:t>
      </w:r>
      <w:r>
        <w:rPr>
          <w:rFonts w:ascii="Times New Roman;Times;Serif" w:hAnsi="Times New Roman;Times;Serif"/>
          <w:b w:val="false"/>
          <w:i w:val="false"/>
          <w:caps w:val="false"/>
          <w:smallCaps w:val="false"/>
          <w:sz w:val="20"/>
        </w:rPr>
        <w:t>” has the meaning assigned to such term in Section 2.14(c).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 or any Governmental Authority succeeding to any of its principal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United States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the Secured Overnight Financing Rate as administered by the Federal Reserve Bank of New York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Purpose Finance Subsidiary</w:t>
      </w:r>
      <w:r>
        <w:rPr>
          <w:rFonts w:ascii="Times New Roman;Times;Serif" w:hAnsi="Times New Roman;Times;Serif"/>
          <w:b w:val="false"/>
          <w:i w:val="false"/>
          <w:caps w:val="false"/>
          <w:smallCaps w:val="false"/>
          <w:sz w:val="20"/>
        </w:rPr>
        <w:t>” means any Subsidiary created solely for the purposes of, and whose sole activities shall consist of, acquiring and financing Permitted Securitization Transferred Assets pursuant to a Permitted Receivables Facility and any other activity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Rate</w:t>
      </w:r>
      <w:r>
        <w:rPr>
          <w:rFonts w:ascii="Times New Roman;Times;Serif" w:hAnsi="Times New Roman;Times;Serif"/>
          <w:b w:val="false"/>
          <w:i w:val="false"/>
          <w:caps w:val="false"/>
          <w:smallCaps w:val="false"/>
          <w:sz w:val="20"/>
        </w:rPr>
        <w:t>” has the meaning assigned to such term in Section 2.14(c).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has the meaning assigned to such term in Section 9.18.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Exposure</w:t>
      </w:r>
      <w:r>
        <w:rPr>
          <w:rFonts w:ascii="Times New Roman;Times;Serif" w:hAnsi="Times New Roman;Times;Serif"/>
          <w:b w:val="false"/>
          <w:i w:val="false"/>
          <w:caps w:val="false"/>
          <w:smallCaps w:val="false"/>
          <w:sz w:val="20"/>
        </w:rPr>
        <w:t>” means, at any time, the aggregate principal amount of all Swingline Loans outstanding at such time. The Swingline Exposure of any Lender at any time shall be its Applicable Percentage of the total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means Bank of America, in its capacity as lender of Swingline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means a Loan made pursuant to Section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Syndication Agent</w:t>
      </w:r>
      <w:r>
        <w:rPr>
          <w:rFonts w:ascii="Times New Roman;Times;Serif" w:hAnsi="Times New Roman;Times;Serif"/>
          <w:b w:val="false"/>
          <w:i w:val="false"/>
          <w:caps w:val="false"/>
          <w:smallCaps w:val="false"/>
          <w:sz w:val="20"/>
        </w:rPr>
        <w:t>” means JPMorgan Chase Bank, N.A., in its capacity as syndication agent for the revolving credit facility established under this Agreement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xml:space="preserve">” means: (a)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rate is not published prior to 11:00 a.m., New York City time, on such determination date then Term SOFR means the Term SOFR Screen Rate on the first U.S. Government Securities Business Day immediately prior thereto; and (b) for any interest calculation with respect to an ABR Loan on any date, the rate per annum equal to the Term SOFR Screen Rate two U.S. Government Securities Business Days prior to such date with a term of one month commencing that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rate is not published prior to 11:00 a.m., New York City time, on such determination date, then Term SOFR means the Term SOFR Screen Rate on the first U.S. Government Securities Business Day immediately prior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Term SOFR determined in accordance with either of the foregoing clause (a) or clause (b) of this definition would otherwise be less than zero, Term SOFR shall be deemed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Loan</w:t>
      </w:r>
      <w:r>
        <w:rPr>
          <w:rFonts w:ascii="Times New Roman;Times;Serif" w:hAnsi="Times New Roman;Times;Serif"/>
          <w:b w:val="false"/>
          <w:i w:val="false"/>
          <w:caps w:val="false"/>
          <w:smallCaps w:val="false"/>
          <w:sz w:val="20"/>
        </w:rPr>
        <w:t>” means a Loan that bears interest at a rate based on clause (a) of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Replacement Date</w:t>
      </w:r>
      <w:r>
        <w:rPr>
          <w:rFonts w:ascii="Times New Roman;Times;Serif" w:hAnsi="Times New Roman;Times;Serif"/>
          <w:b w:val="false"/>
          <w:i w:val="false"/>
          <w:caps w:val="false"/>
          <w:smallCaps w:val="false"/>
          <w:sz w:val="20"/>
        </w:rPr>
        <w:t>” has the meaning assigned to such term in Section 2.14(c).</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Screen Rate</w:t>
      </w:r>
      <w:r>
        <w:rPr>
          <w:rFonts w:ascii="Times New Roman;Times;Serif" w:hAnsi="Times New Roman;Times;Serif"/>
          <w:b w:val="false"/>
          <w:i w:val="false"/>
          <w:caps w:val="false"/>
          <w:smallCaps w:val="false"/>
          <w:sz w:val="20"/>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Net Leverage Ratio</w:t>
      </w:r>
      <w:r>
        <w:rPr>
          <w:rFonts w:ascii="Times New Roman;Times;Serif" w:hAnsi="Times New Roman;Times;Serif"/>
          <w:b w:val="false"/>
          <w:i w:val="false"/>
          <w:caps w:val="false"/>
          <w:smallCaps w:val="false"/>
          <w:sz w:val="20"/>
        </w:rPr>
        <w:t>” has the meaning assigned to such term in Section 6.04(a).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Revolving Credit Exposure</w:t>
      </w:r>
      <w:r>
        <w:rPr>
          <w:rFonts w:ascii="Times New Roman;Times;Serif" w:hAnsi="Times New Roman;Times;Serif"/>
          <w:b w:val="false"/>
          <w:i w:val="false"/>
          <w:caps w:val="false"/>
          <w:smallCaps w:val="false"/>
          <w:sz w:val="20"/>
        </w:rPr>
        <w:t>” means, at any time, the sum of all Lenders’ Revolving Credit Exposures.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the execution, delivery and performance by the Borrower of this Agreement and the other Loan Documents, the borrowing of Loans and other credit extensions, the use of the proceeds thereof and the issuance of Letters of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when used in reference to any Loan or Borrowing, refers to whether the rate of interest on such Loan, or on the Loans comprising such Borrowing, is determined by reference to clause (a) in the definition of “Term SOFR” or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Undisclosed Administration</w:t>
      </w:r>
      <w:r>
        <w:rPr>
          <w:rFonts w:ascii="Times New Roman;Times;Serif" w:hAnsi="Times New Roman;Times;Serif"/>
          <w:b w:val="false"/>
          <w:i w:val="false"/>
          <w:caps w:val="false"/>
          <w:smallCaps w:val="false"/>
          <w:sz w:val="20"/>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Unreimbursed Amount</w:t>
      </w:r>
      <w:r>
        <w:rPr>
          <w:rFonts w:ascii="Times New Roman;Times;Serif" w:hAnsi="Times New Roman;Times;Serif"/>
          <w:b w:val="false"/>
          <w:i w:val="false"/>
          <w:caps w:val="false"/>
          <w:smallCaps w:val="false"/>
          <w:sz w:val="20"/>
        </w:rPr>
        <w:t>” has the meaning assigned to such term in Section 2.06(d).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 “United States person” within the meaning of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has the meaning assigned to such term in Section 9.18.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has the meaning assigned to such term in Section 2.17(f)(ii)(B)(3).</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from time to time in any applicable jurisdiction or any other laws of any jurisdiction which are required to be applied in connection with the issue of creation, perfection or priority of security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Unfunded Commitment</w:t>
      </w:r>
      <w:r>
        <w:rPr>
          <w:rFonts w:ascii="Times New Roman;Times;Serif" w:hAnsi="Times New Roman;Times;Serif"/>
          <w:b w:val="false"/>
          <w:i w:val="false"/>
          <w:caps w:val="false"/>
          <w:smallCaps w:val="false"/>
          <w:sz w:val="20"/>
        </w:rPr>
        <w:t>” means, with respect to each Lender, the Commitment of such Lender less its Revolving Credit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wholly-owned Subsidiary</w:t>
      </w:r>
      <w:r>
        <w:rPr>
          <w:rFonts w:ascii="Times New Roman;Times;Serif" w:hAnsi="Times New Roman;Times;Serif"/>
          <w:b w:val="false"/>
          <w:i w:val="false"/>
          <w:caps w:val="false"/>
          <w:smallCaps w:val="false"/>
          <w:sz w:val="20"/>
        </w:rPr>
        <w:t>” means a Subsidiary with respect to which 100% of the issued and outstanding Equity Interests are owned directly or indirectly by the Company (other than (x) directors’ qualifying shares; (y) shares issued to foreign nationals to the extent required by applicable law; and (z) shares held by a Person on trust for, or otherwise where the beneficial interest is held by, the Company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Withdrawal Liability</w:t>
      </w:r>
      <w:r>
        <w:rPr>
          <w:rFonts w:ascii="Times New Roman;Times;Serif" w:hAnsi="Times New Roman;Times;Serif"/>
          <w:b w:val="false"/>
          <w:i w:val="false"/>
          <w:caps w:val="false"/>
          <w:smallCaps w:val="false"/>
          <w:sz w:val="20"/>
        </w:rPr>
        <w:t>” means liability to a Multiemployer Plan as a result of a complete or partial withdrawal from such Multiemployer Plan, as such terms are defined in Part I of Subtitle E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(e.g., a “</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or by Type (e.g., a “</w:t>
      </w:r>
      <w:r>
        <w:rPr>
          <w:rFonts w:ascii="Times New Roman;Times;Serif" w:hAnsi="Times New Roman;Times;Serif"/>
          <w:b w:val="false"/>
          <w:i w:val="false"/>
          <w:caps w:val="false"/>
          <w:smallCaps w:val="false"/>
          <w:sz w:val="20"/>
          <w:u w:val="single"/>
        </w:rPr>
        <w:t>Term SOFR Loan</w:t>
      </w:r>
      <w:r>
        <w:rPr>
          <w:rFonts w:ascii="Times New Roman;Times;Serif" w:hAnsi="Times New Roman;Times;Serif"/>
          <w:b w:val="false"/>
          <w:i w:val="false"/>
          <w:caps w:val="false"/>
          <w:smallCaps w:val="false"/>
          <w:sz w:val="20"/>
        </w:rPr>
        <w:t>”) or by Class and Type (e.g., a “</w:t>
      </w:r>
      <w:r>
        <w:rPr>
          <w:rFonts w:ascii="Times New Roman;Times;Serif" w:hAnsi="Times New Roman;Times;Serif"/>
          <w:b w:val="false"/>
          <w:i w:val="false"/>
          <w:caps w:val="false"/>
          <w:smallCaps w:val="false"/>
          <w:sz w:val="20"/>
          <w:u w:val="single"/>
        </w:rPr>
        <w:t>Term SOFR Revolving Loan</w:t>
      </w:r>
      <w:r>
        <w:rPr>
          <w:rFonts w:ascii="Times New Roman;Times;Serif" w:hAnsi="Times New Roman;Times;Serif"/>
          <w:b w:val="false"/>
          <w:i w:val="false"/>
          <w:caps w:val="false"/>
          <w:smallCaps w:val="false"/>
          <w:sz w:val="20"/>
        </w:rPr>
        <w:t>”). Borrowings also may be classified and referred to by Class (e.g., a “</w:t>
      </w:r>
      <w:r>
        <w:rPr>
          <w:rFonts w:ascii="Times New Roman;Times;Serif" w:hAnsi="Times New Roman;Times;Serif"/>
          <w:b w:val="false"/>
          <w:i w:val="false"/>
          <w:caps w:val="false"/>
          <w:smallCaps w:val="false"/>
          <w:sz w:val="20"/>
          <w:u w:val="single"/>
        </w:rPr>
        <w:t>Revolving Borrowing</w:t>
      </w:r>
      <w:r>
        <w:rPr>
          <w:rFonts w:ascii="Times New Roman;Times;Serif" w:hAnsi="Times New Roman;Times;Serif"/>
          <w:b w:val="false"/>
          <w:i w:val="false"/>
          <w:caps w:val="false"/>
          <w:smallCaps w:val="false"/>
          <w:sz w:val="20"/>
        </w:rPr>
        <w:t>”) or by Type (e.g., a “</w:t>
      </w:r>
      <w:r>
        <w:rPr>
          <w:rFonts w:ascii="Times New Roman;Times;Serif" w:hAnsi="Times New Roman;Times;Serif"/>
          <w:b w:val="false"/>
          <w:i w:val="false"/>
          <w:caps w:val="false"/>
          <w:smallCaps w:val="false"/>
          <w:sz w:val="20"/>
          <w:u w:val="single"/>
        </w:rPr>
        <w:t>Term SOFR Borrowing</w:t>
      </w:r>
      <w:r>
        <w:rPr>
          <w:rFonts w:ascii="Times New Roman;Times;Serif" w:hAnsi="Times New Roman;Times;Serif"/>
          <w:b w:val="false"/>
          <w:i w:val="false"/>
          <w:caps w:val="false"/>
          <w:smallCaps w:val="false"/>
          <w:sz w:val="20"/>
        </w:rPr>
        <w:t>”) or by Class and Type (e.g., a “</w:t>
      </w:r>
      <w:r>
        <w:rPr>
          <w:rFonts w:ascii="Times New Roman;Times;Serif" w:hAnsi="Times New Roman;Times;Serif"/>
          <w:b w:val="false"/>
          <w:i w:val="false"/>
          <w:caps w:val="false"/>
          <w:smallCaps w:val="false"/>
          <w:sz w:val="20"/>
          <w:u w:val="single"/>
        </w:rPr>
        <w:t>Term SOFR Revolving Borrowing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tab/>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the words “asset” and “property” shall be construed to have the same meaning and effect and to refer to any and all tangible and intangible assets and properties, including cash, securities, accounts and contract rights and (g) any reference herein to a merger,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consolidation, amalgamation, assignment, sale, disposition or transfer, or similar term, as applicable, to, of or with a separate Person, and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r>
      <w:r>
        <w:rPr>
          <w:rFonts w:ascii="Times New Roman;Times;Serif" w:hAnsi="Times New Roman;Times;Serif"/>
          <w:b w:val="false"/>
          <w:i w:val="false"/>
          <w:caps w:val="false"/>
          <w:smallCaps w:val="false"/>
          <w:sz w:val="20"/>
          <w:u w:val="single"/>
        </w:rPr>
        <w:t>Accounting Terms; GAAP; Pro Forma Calculations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expressly provided herein, all terms of an accounting or financial nature shall be construed in accordance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Company notifies the Administrative Agent that the Company requests an amendment to any provision hereof to eliminate the effect of any change occurring after the Effective Date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 accounting or financial nature used herein shall be construed, and all computations of amounts and ratios referred to herein shall be made (A)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 (B)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 notwithstanding the treatment of leases under Accounting Standards Codification 842 (or any other Accounting Standards Codification or Financial Accounting Standard having a similar result or effect), any obligations relating to any of the following shall be deemed to be obligations relating to an operating lease and shall not constitute Capital Lease Obligations under the Loan Documents: (A) a lease that was or would have been accounted for by such Person as an operating lease prior to any modification or interpretive change to GAAP as a result of Accounting Standards Codification 842 (or any other Accounting Standards Codification or Financial Accounting Standard having a similar result or effect) or (B) any lease or arrangement similar to any of the foregoing entered into after the Effective Date by such Person or an Affiliate thereof. For the avoidance of doubt, it is understood and agreed that a lease or other arrangement that would be accounted for by such Person as an operating lease under Accounting Standards Codification 842 (or any other Accounting Standards Codification or Financial Accounting Standard having a similar result or effect) shall also be treated as an operating lease. Notwithstanding anything to the contrary set forth in this Agreement, with respect to determining the permissibility of the incurrence of any Indebtedness by the Company or any of its Subsidiaries,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thereof shall not constitute “unrestricted and unencumbered cash and cash equivalents” for purposes of calculating the Total Net Leverage Ratio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pro forma computations required to be made hereunder giving effect to any Acquisition or disposition, or issuance, incurrence or assumption of Indebtedness, or other transaction shall in each case be calculated after giving pro forma effect thereto (and, in the case of any pro forma computation made hereunder, to determine whether such Acquisition, disposition or issuance, incurrence or assumption of Indebtedness or other transaction is not prohibited to be consummated hereunder) immediately after giving effect to such Acquisition, disposition or issuance, incurrence or assumption of Indebtedness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financial statements pursuant to Section 5.01(b) for the fiscal quarter ending September 27, 2026, ending with the fiscal quarter ended June 28, 2026), and, to the extent applicable, to the historical earnings and cash flows associated with the assets acquired or disposed of, any related incurrence or reduction of Indebtedness and any related cost savings, operating expense reductions and synergies, all in accordance with (and, in the case of cost savings, operating expense reductions and synergies, to the extent permitted by)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tab/>
      </w:r>
      <w:r>
        <w:rPr>
          <w:rFonts w:ascii="Times New Roman;Times;Serif" w:hAnsi="Times New Roman;Times;Serif"/>
          <w:b w:val="false"/>
          <w:i w:val="false"/>
          <w:caps w:val="false"/>
          <w:smallCaps w:val="false"/>
          <w:sz w:val="20"/>
          <w:u w:val="single"/>
        </w:rPr>
        <w:t>Interest Rates</w:t>
      </w:r>
      <w:r>
        <w:rPr>
          <w:rFonts w:ascii="Times New Roman;Times;Serif" w:hAnsi="Times New Roman;Times;Serif"/>
          <w:b w:val="false"/>
          <w:i w:val="false"/>
          <w:caps w:val="false"/>
          <w:smallCaps w:val="false"/>
          <w:sz w:val="20"/>
        </w:rPr>
        <w:t>.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any Successor Rate) (or any component of any of the foregoing),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b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Subject to the terms and conditions set forth herein, each Lender (severally and not jointly) agrees to make Revolving Loans in Dollars to the Borrower from time to time during the Availability Period in an aggregate principal amount that will not result (after giving effect 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application of proceeds of such Borrowing to any Swingline Loans outstanding pursuant to Section 2.10(a)) in (a) subject to Section 2.11(b), the amount of such Lender’s Revolving Credit Exposure exceeding such Lender’s Commitment or (b) subject to Section 2.11(b), the amount of the Total Revolving Credit Exposure exceeding the Aggregate Commitment. Within the foregoing limits and subject to the terms and conditions set forth herein, the Borrower may borrow, prepay and reborrow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val="false"/>
          <w:i w:val="false"/>
          <w:caps w:val="false"/>
          <w:smallCaps w:val="false"/>
          <w:sz w:val="20"/>
          <w:u w:val="single"/>
        </w:rPr>
        <w:t>Loans and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Revolving Loan (other than Swingline Loans)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Commitments of the Lenders are several and no Lender shall be responsible for any other Lender’s failure to make Loans as required. Any Swingline Loan shall be made in accordance with the procedures set forth in Section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Section 2.14, each Revolving Borrowing shall be comprised entirely of ABR Loans or Term SOFR Loans as the Borrower may request in accordance herewith.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exercise of such option shall not affect the obligation of the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commencement of each Interest Period for any Term SOFR Revolving Borrowing, such Borrowing shall be in an aggregate amount that is an integral multiple of $1,000,000 and not less than $10,000,000. At the time that each ABR Revolving Borrowing is made, such Borrowing shall be in an aggregate amount that is an integral multiple of $1,000,000 and not less than $10,000,000;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ABR Revolving Borrowing may be in an aggregate amount that is equal to the entire unused balance of the Aggregate Commitment or that is required to finance the reimbursement of an LC Disbursement as contemplated by Section 2.06(e). Each Swingline Loan shall be in an amount that is an integral multiple of $1,000,000 and not less than $1,000,000. Borrowings of more than one Type and Class may be outstanding at the same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not at any time be more than a total of six (6) Term SOFR Borrowings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 of this Agreement, the Borrower shall not be entitled to request, or to elect to convert or continue, any Borrowing if the Interest Period requested with respect thereto would end after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r>
      <w:r>
        <w:rPr>
          <w:rFonts w:ascii="Times New Roman;Times;Serif" w:hAnsi="Times New Roman;Times;Serif"/>
          <w:b w:val="false"/>
          <w:i w:val="false"/>
          <w:caps w:val="false"/>
          <w:smallCaps w:val="false"/>
          <w:sz w:val="20"/>
          <w:u w:val="single"/>
        </w:rPr>
        <w:t>Requests for Revolving Borrowings</w:t>
      </w:r>
      <w:r>
        <w:rPr>
          <w:rFonts w:ascii="Times New Roman;Times;Serif" w:hAnsi="Times New Roman;Times;Serif"/>
          <w:b w:val="false"/>
          <w:i w:val="false"/>
          <w:caps w:val="false"/>
          <w:smallCaps w:val="false"/>
          <w:sz w:val="20"/>
        </w:rPr>
        <w:t>. To request a Revolving Borrowing, the Borrower shall notify the Administrative Agent of such request (a) by irrevocable written notice (via a written Borrowing Request signed by the Borrower promptly followed by telephonic confirmation of such request) in the case of a Term SOFR Borrowing, not later than 11:00 a.m., Local Time, two (2) Business Days before the date of the proposed Borrowing or (b) by telephone in the case of an ABR Borrowing, not later than 11:00 a.m., New York City time, on the date of the proposed Borrowing. Each such telephonic Borrowing Request shall be irrevocable and shall be confirmed promptly by hand delivery or telecopy to the Administrative Agent of a written Borrowing Request signed by the Borrower. Each such telephonic and written Borrowing Request shall specify the following information in compliance with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principal amount of the requested Borrowing;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of such Borrowing,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such Borrowing is to be an ABR Borrowing or a Term SOFR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Term SOFR Borrowing, the initial Interest Period to be applicable thereto, which shall be a period contemplated by the definition of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location and number of the Borrower’s account to which funds are to be disbursed, which shall comply with the requirements of Section 2.07.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election as to the Type of Revolving Borrowing is specified, then the requested Revolving Borrowing shall be an ABR Borrowing. If no Interest Period is specified with respect to any requested Term SOFR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tab/>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set forth herein, the Borrower may request Swingline Loans in Dollars from time to time during the Availability Period, in an aggregate principal amount at any time outstanding that will not result in (i) the aggregate principal amount of outstanding Swingline Loans exceeding $50,000,000, (ii) the Swingline Lender’s Revolving Credit Exposure exceeding its Commitment or (iii) the Total Revolving Credit Exposure exceeding the Aggregate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Swingline Lender shall not be required to make a Swingline Loan to refinance an outstanding Swingline Loan. The Swingline Lender shall not be under any obligation to make any Swingline Loan if it shall determine (which determination shall be conclusive and binding absent manifest error) that it has, or by such Credit Event may have, Fronting Exposure. Within the foregoing limits and subject to the terms and conditions set forth herein, the Borrower may borrow and reborrow Swingline Loans and prepay any Swingline Loan made to it. Each Swingline Loan shall be an ABR Loan. Immediately upon the making of a Swingline Loan, each Lender shall be deemed to, and hereby irrevocably and unconditionally agrees to, purchase from the Swingline Lender a risk participation in such Swingline Loan in an amount equal to the product of such Lender’s Applicable Percentage times the amount of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Swingline Loan shall be made upon the Borrower’s irrevocable notice to the Swingline Lender and the Administrative Agent, which may be given by telephone or by a Borrowing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telephonic notice must be confirmed promptly by delivery to the Swingline Lender and the Administrative Agent of a Borrowing Request. Each such Borrowing Request must be received by the Swingline Lender and the Administrative Agent not later than 1:00 p.m. New York City time on the requested borrowing date, and shall specify (i) the amount to be borrowed, which shall be a minimum of $1,000,000, and (ii) the requested borrowing date, which shall be a Business Day. Promptly after receipt by the Swingline Lender of any Borrowing Request, the Swingline Lender will confirm with the Administrative Agent (by telephone or in writing) that the Administrative Agent has also received such Borrowing Request and, if not, the Swingline Lender will notify the Administrative Agent (by telephone or in writing)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contents thereof. Unless the Swingline Lender has received notice (by telephone or in writing) from the Administrative Agent (including at the request of any Lender) prior to 2:00 p.m. New York City time on the date of the proposed Swingline Borrowing (A) directing the Swingline Lender not to make such Swingline Loan as a result of the limitations set forth in Section 2.05, or (B) that one or more of the applicable conditions specified in Article IV is not then satisfied, then, subject to the terms and conditions hereof, the Swingline Lender will, not later than 3:00 p.m. New York City time on the borrowing date specified in such Borrowing Request, make the amount of its Swingline Loan available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Refinancing of 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Swingline Lender at any time in its sole discretion may request, on behalf of the Borrower (which hereby irrevocably authorizes the Swingline Lender to so request on its behalf), that each Lender make an ABR Loan in an amount equal to such Lender’s Applicable Percentage of the amount of Swingline Loans then outstanding. Such request shall be made in writing (which written request shall be deemed to be a Borrowing Request for purposes hereof) and in accordance with the requirements of Section 2.02, without regard to the minimum and multiples specified therein for the principal amount of ABR Loans, but subject to the unutilized portion of the Aggregate Commitment and the conditions set forth in Section 4.02. The Swingline Lender shall furnish the Borrower with a copy of the applicable Borrowing Request promptly after delivering such notice to the Administrative Agent. Each Lender shall make an amount equal to its Applicable Percentage of the amount specified in such Borrowing Request available to the Administrative Agent in Same Day Funds (and the Administrative Agent may apply cash collateral available with respect to the applicable Swingline Loan) for the account of the Swingline Lender at the Administrative Agent’s Office not later than 1:00 p.m. New York City time on the day specified in such Borrowing Request, whereupon, subject to Section 2.05(c)(ii), each Lender that so makes funds available shall be deemed to have made a ABR Loan to the Borrower in such amount. The Administrative Agent shall remit the funds so received to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for any reason any Swingline Loan cannot be refinanced by such a Borrowing in accordance with Section 2.05(c)(i), the request for ABR Loans submitted by the Swingline Lender as set forth herein shall be deemed to be a request by the Swingline Lender that each of the Lenders fund its risk participation in the relevant Swingline Loan and each Lender’s payment to the Administrative Agent for the account of the Swingline Lender pursuant to Section 2.05(c)(i) shall be deemed payment in respect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any Lender fails to make available to the Administrative Agent for the account of the Swingline Lender any amount required to be paid by such Lender pursuant to the foregoing provisions of this Section 2.05(c) by the time specified in Section 2.05(c)(i),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applicable Overnight Bank Funding Rate from time to time in effect and a rate determined by the Swingline Lender in accordance with banking industry rules on interbank compensation, plus any administrative, processing or similar fees customarily charged by the Swingline Lender in connection with the foregoing. If such Lender pays such amount (with interest and fees as aforesaid), the amount so paid shall constitute such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 Loan included in the relevant Borrowing or funded participation in the relevant Swingline Loan, as the case may be. A certificate of the Swingline Lender submitted to any Lender (through the Administrative Agent) with respect to any amounts owing under this clause (iii)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Each Lender’s obligation to make an ABR Loan or to purchase and fund risk participations in Swingline Loans pursuant to this Section 2.05(c)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Lender’s obligation to make ABR Loans pursuant to this Section 2.05(c) is subject to the conditions set forth in Section 4.02. No such funding of risk participations shall relieve or otherwise impair the obligation of the Borrower to repay Swingline Loans, together with interest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Repayment of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any time after any Lender has purchased and funded a risk participation in a Swingline Loan, if the Swingline Lender receives any payment on account of such Swingline Loan, the Swingline Lender will distribute to such Lender its Applicable Percentage thereof in the same funds as those received by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payment received by the Swingline Lender in respect of principal or interest on any Swingline Loan is required to be returned by the Swingline Lender under any of the circumstances (including pursuant to any settlement entered into by the Swingline Lender in its discretion), each Lender shall pay to the Swingline Lender its Applicable Percentage thereof on demand of the Administrative Agent, plus interest thereon from the date of such demand to the date such amount is returned, at a rate per annum equal to the applicable Overnight Bank Funding Rate from time to time in effect. The Administrative Agent will make such demand upon the request of the Swingline Lender. The obligations of the Lenders under this clause shall survive the payment in full of the Obligations and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Interest for Account of Swingline Lender</w:t>
      </w:r>
      <w:r>
        <w:rPr>
          <w:rFonts w:ascii="Times New Roman;Times;Serif" w:hAnsi="Times New Roman;Times;Serif"/>
          <w:b w:val="false"/>
          <w:i w:val="false"/>
          <w:caps w:val="false"/>
          <w:smallCaps w:val="false"/>
          <w:sz w:val="20"/>
        </w:rPr>
        <w:t>. The Swingline Lender shall be responsible for invoicing the Borrower for interest on the Swingline Loans. Until each Lender funds its ABR Loan or risk participation pursuant to this Section 2.05 to refinance such Lender’s Applicable Percentage of any Swingline Loan, interest in respect of such Applicable Percentage shall be solely for the account of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Payments Directly to Swingline Lender</w:t>
      </w:r>
      <w:r>
        <w:rPr>
          <w:rFonts w:ascii="Times New Roman;Times;Serif" w:hAnsi="Times New Roman;Times;Serif"/>
          <w:b w:val="false"/>
          <w:i w:val="false"/>
          <w:caps w:val="false"/>
          <w:smallCaps w:val="false"/>
          <w:sz w:val="20"/>
        </w:rPr>
        <w:t>. The Borrower shall make all payments of principal and interest in respect of the Swingline Loans directly to the Swingline Lender (or, in the case of a Swingline Loan made to finance the reimbursement of an LC Disbursement as provided in Section 2.06(e), by remittance to the relevant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tab/>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Subject to the terms and conditions set forth herein, the Company may request the issuance of standby Letters of Credit denominated in Dollars as the applicant thereof for the support of its or its Subsidiaries’ obligations, in a form reasonably acceptable to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and the relevant Issuing Bank, at any time and from time to time during the Availability Period. In the event of any inconsistency between the terms and conditions of this Agreement and the terms and conditions of any Letter of Credit Agreement, the terms and conditions of this Agreement shall control. Notwithstanding anything herein to the contrary, no Issuing Bank shall have any obligation hereunder to issue, and shall not issue, any Letter of Credit the proceeds of which would be made available to any Person (i) to fund or finance any activity, business or transaction of or with any Sanctioned Person, or in any country or territory that, at the time of such funding, is a Sanctioned Country, to the extent such activity, business or transaction would be prohibited by Sanctions by a Person organized or formed under the laws of the United States, (ii) in any manner that would result in a violation of any Sanctions by any party to this Agreement or (iii) in any manner that would result in a violation (as reasonably determined by such Issuing Bank in good faith) of one or more Sanctions-related policies of such Issuing Bank applicable to letters of credit generally (it being agreed that, upon request by the Company, such Issuing Bank shall deliver a certificate setting forth, in reasonable detail, the basis for any non-issuance pursuant to this clause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Issuance, Amendment, Renewal, Extension; Certain Conditions</w:t>
      </w:r>
      <w:r>
        <w:rPr>
          <w:rFonts w:ascii="Times New Roman;Times;Serif" w:hAnsi="Times New Roman;Times;Serif"/>
          <w:b w:val="false"/>
          <w:i w:val="false"/>
          <w:caps w:val="false"/>
          <w:smallCaps w:val="false"/>
          <w:sz w:val="20"/>
        </w:rPr>
        <w:t>. To request the issuance of a Letter of Credit (or the amendment, renewal or extension of an outstanding Letter of Credit), the Company shall hand deliver or telecopy (or transmit by electronic communication, if arrangements for doing so have been approved by the relevant Issuing Bank) to the relevant Issuing Bank and the Administrative Agent (reasonably in advance of the requested date of issuance, amendment, renewal or extension, but in any event no less than three (3) Business Days unless otherwise agreed by the relevant Issuing Bank) a notice signed by the Company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In addition, as a condition to any such Letter of Credit issuance, the Company shall have entered into a continuing agreement (or other letter of credit agreement) for the issuance of letters of credit and/or shall submit a letter of credit application, in each case, as required by the relevant Issuing Bank and using such Issuing Bank’s standard form (each, a “</w:t>
      </w:r>
      <w:r>
        <w:rPr>
          <w:rFonts w:ascii="Times New Roman;Times;Serif" w:hAnsi="Times New Roman;Times;Serif"/>
          <w:b w:val="false"/>
          <w:i w:val="false"/>
          <w:caps w:val="false"/>
          <w:smallCaps w:val="false"/>
          <w:sz w:val="20"/>
          <w:u w:val="single"/>
        </w:rPr>
        <w:t>Letter of Credit Agreement</w:t>
      </w:r>
      <w:r>
        <w:rPr>
          <w:rFonts w:ascii="Times New Roman;Times;Serif" w:hAnsi="Times New Roman;Times;Serif"/>
          <w:b w:val="false"/>
          <w:i w:val="false"/>
          <w:caps w:val="false"/>
          <w:smallCaps w:val="false"/>
          <w:sz w:val="20"/>
        </w:rPr>
        <w:t>”). A Letter of Credit shall be issued, amended, renewed or extended only if (and upon issuance, amendment, renewal or extension of each Letter of Credit the Company shall be deemed to represent and warrant that), after giving effect to such issuance, amendment, renewal or extension (i) subject to Section 2.11(b), the amount of the LC Exposure shall not exceed $75,000,000, (ii) subject to Section 2.11(b), the amount of the Total Revolving Credit Exposure shall not exceed the Aggregate Commitment, (iii) subject to Section 2.11(b), the amount of each Lender’s Revolving Credit Exposure shall not exceed such Lender’s Commitment and (iv) the aggregate face amount of all Letters of Credit issued and then outstanding by any Issuing Bank shall not exceed such Issuing Bank’s Applicable LC Sublimit, unless such excess is consented to, or otherwise waived, by such Issuing Bank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Each Letter of Credit shall expire (or be subject to termination by notice from the relevant Issuing Bank to the beneficiary thereof) at or prior to the close of business on the earlier of (i) the date one year (or such longer period as may be consented to by the relevant Issuing Bank) after the date of the issuance of such Letter of Credit (or, in the case of any renewal or extension thereof, one year after such renewal or extension) and (ii) the date that is five (5) Business Days prior to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Letter of Credit with a one-year tenor may contain customary automatic renewal provisions agreed upon by the Company and the relevant Issuing Bank that provide for the renewal thereof for additional one-year periods (which shall in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extend beyond the date referenced in clause (ii) above), subject to a right on the part of such Issuing Bank to prevent any such renewal from occurring by giving notice to the beneficiary in advance of any such renewal. Notwithstanding the foregoing, any Letter of Credit may expire no later than one year after the Maturity Date so long as the Company cash collateralizes an amount equal to 103% of the face amount of such Letter of Credit, concurrently with the issuance of such Letter of Credit, in the manner described in Section 2.06(j) and otherwise on terms and conditions reasonably acceptable to the relevant Issuing Bank and the Administrative Agent or provides a backup letter of credit in such amount and otherwise in form and substance reasonably acceptable to the relevant Issuing Bank and the Administrative Agent, in each case no later than five (5) Business Days prior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By the issuance of a Letter of Credit (or an amendment to a Letter of Credit increasing the amount thereof) and without any further action on the part of the relevant Issuing Bank or the Lenders, the relevant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Company on the date due as provided in paragraph (e) of this Section, or of any reimbursement payment required to be refunded to the Company for any reason (any such amount the “</w:t>
      </w:r>
      <w:r>
        <w:rPr>
          <w:rFonts w:ascii="Times New Roman;Times;Serif" w:hAnsi="Times New Roman;Times;Serif"/>
          <w:b w:val="false"/>
          <w:i w:val="false"/>
          <w:caps w:val="false"/>
          <w:smallCaps w:val="false"/>
          <w:sz w:val="20"/>
          <w:u w:val="single"/>
        </w:rPr>
        <w:t>Unreimbursed Amount</w:t>
      </w:r>
      <w:r>
        <w:rPr>
          <w:rFonts w:ascii="Times New Roman;Times;Serif" w:hAnsi="Times New Roman;Times;Serif"/>
          <w:b w:val="false"/>
          <w:i w:val="false"/>
          <w:caps w:val="false"/>
          <w:smallCaps w:val="false"/>
          <w:sz w:val="20"/>
        </w:rPr>
        <w: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xml:space="preserve">. If the relevant Issuing Bank shall make any LC Disbursement in respect of a Letter of Credit, the Company shall reimburse such LC Disbursement by paying to the Administrative Agent an amount equal to such LC Disbursement, calculated as of the date such Issuing Bank made such LC Disbursement not later than 12:00 noon, Local Time, on the Business Day immediately following the Business Day that the Company shall have received notice of such LC Disbursement;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may, subject to the conditions to borrowing set forth herein, request in accordance with Section 2.03 or 2.05 that such payment be financed with an ABR Revolving Borrowing, Term SOFR Revolving Borrowing or Swingline Loan in an amount equal to such LC Disbursement, to the extent so financed, the Company’s obligation to make such payment shall be discharged and replaced by the resulting ABR Revolving Borrowing, Term SOFR Revolving Borrowing or Swingline Loan, as applicable.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Section 2.07 with respect to Loans made by such Lender (and Section 2.07 shall apply,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 to the payment obligations of the Lenders), and the Administrative Agent shall promptly pay to the relevant Issuing Bank the amounts so received by it from the Lenders. Promptly following receipt by the Administrative Agent of any payment from the Company pursuant to this paragraph, the Administrative Agent shall distribute such payment to the relevant Issuing Bank or, to the extent that Lenders have made payments pursuant to this paragraph to reimburse such Issuing Bank, then to such Lenders and such Issuing Bank as their interests may appear. Any payment made by a Lender pursuant to this paragraph to reimburse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Issuing Bank for any LC Disbursement (other than the funding of Revolving Loans or a Swingline Loan as contemplated above) shall not constitute a Loan and shall not relieve the Company of its obligation to reimburse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 xml:space="preserve">. The Company’s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relevant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Company’s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be construed to excuse the relevant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Disbursement Procedures</w:t>
      </w:r>
      <w:r>
        <w:rPr>
          <w:rFonts w:ascii="Times New Roman;Times;Serif" w:hAnsi="Times New Roman;Times;Serif"/>
          <w:b w:val="false"/>
          <w:i w:val="false"/>
          <w:caps w:val="false"/>
          <w:smallCaps w:val="false"/>
          <w:sz w:val="20"/>
        </w:rPr>
        <w:t xml:space="preserve">. Each Issuing Bank shall, within the time allowed by applicable laws or the specific terms of the Letter of Credit following its receipt thereof, examine all documents purporting to represent a demand for payment under a Letter of Credit. Each Issuing Bank shall promptly after such examination notify the Administrative Agent and the Company by telephone (confirmed by telecopy) of such demand for payment and whether such Issuing Bank has made or will make an LC Disbursement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to give or delay in giving such notice shall not relieve the Company of its obligation to reimburse such Issuing Bank and the Lenders with respect to any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Interim Interest</w:t>
      </w:r>
      <w:r>
        <w:rPr>
          <w:rFonts w:ascii="Times New Roman;Times;Serif" w:hAnsi="Times New Roman;Times;Serif"/>
          <w:b w:val="false"/>
          <w:i w:val="false"/>
          <w:caps w:val="false"/>
          <w:smallCaps w:val="false"/>
          <w:sz w:val="20"/>
        </w:rPr>
        <w:t>. If any Issuing Bank shall make any LC Disbursement, then, unless the Company shall reimburse such LC Disbursement in full within one Business Day of the date on which such LC Disbursement is made, the unpaid amount thereof shall bear interest, for each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day from and including the date such LC Disbursement is made to but excluding the date that the reimbursement is due and payable, at the rate per annum then applicable to ABR Loans and such interest shall be due and payable on the date when such reimbursement is payable;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Company fails to reimburse such LC Disbursement when due pursuant to paragraph (e) of this Section, then Section 2.13(c) shall apply. Interest accrued pursuant to this paragraph shall be for the account of the relevant Issuing Bank, except that interest accrued on and after the date of payment by any Lender pursuant to paragraph (e) of this Section to reimburse such Issuing Bank shall be for the account of such Lender to the extent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Replacement of Issuing Bank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Issuing Bank may be replaced at any time by written agreement among the Company, the Administrative Agent, the replaced Issuing Bank and the successor Issuing Bank. The Administrative Agent shall notify the Lenders of any such replacement of any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appointment and acceptance of a successor Issuing Bank, any Issuing Bank may resign as an Issuing Bank at any time upon thirty (30) days’ prior written notice to the Administrative Agent, the Company and the Lenders, in which case, such Issuing Bank shall be replaced in accordance with Section 2.06(i)(A)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Cash Collateralization</w:t>
      </w:r>
      <w:r>
        <w:rPr>
          <w:rFonts w:ascii="Times New Roman;Times;Serif" w:hAnsi="Times New Roman;Times;Serif"/>
          <w:b w:val="false"/>
          <w:i w:val="false"/>
          <w:caps w:val="false"/>
          <w:smallCaps w:val="false"/>
          <w:sz w:val="20"/>
        </w:rPr>
        <w:t>. If any Event of Default shall occur and be continuing, on the Business Day that the Company receives notice from the Administrative Agent or the Required Lenders (or, if the maturity of the Loans has been accelerated,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Lenders (the “</w:t>
      </w:r>
      <w:r>
        <w:rPr>
          <w:rFonts w:ascii="Times New Roman;Times;Serif" w:hAnsi="Times New Roman;Times;Serif"/>
          <w:b w:val="false"/>
          <w:i w:val="false"/>
          <w:caps w:val="false"/>
          <w:smallCaps w:val="false"/>
          <w:sz w:val="20"/>
          <w:u w:val="single"/>
        </w:rPr>
        <w:t>LC Collateral Account</w:t>
      </w:r>
      <w:r>
        <w:rPr>
          <w:rFonts w:ascii="Times New Roman;Times;Serif" w:hAnsi="Times New Roman;Times;Serif"/>
          <w:b w:val="false"/>
          <w:i w:val="false"/>
          <w:caps w:val="false"/>
          <w:smallCaps w:val="false"/>
          <w:sz w:val="20"/>
        </w:rPr>
        <w:t xml:space="preserve">”), an amount in cash equal to 103% of the amount of the LC Exposure as of such date plus any accrued and unpaid interest thereon;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the Company described in clause (h) or (i) of Article VII. At any time that there shall exist a Defaulting Lender, within one Business Day following the written request of the Administrative Agent or any Issuing Bank (with a copy to the Administrative Agent), the Borrower shall cash collateralize the Issuing Bank’s Fronting Exposure with respect to such Defaulting Lender in an amount not less than 103% of the amount of the LC Exposure as of such date plus any accrued and unpaid interest thereon. The Company also shall deposit cash collateral pursuant 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paragraph as and to the extent required by Section 2.11(b). Such deposit shall be held by the Administrative Agent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of the Company with the consent of the Administrative Agent in its reasonable discretion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within three (3) Business Days after all Events of Default have been cured or waived. If the Company is required to provide an amount of cash collateral hereunder pursuant to Section 2.11(b), such amount (to the extent not applied as aforesaid) shall be returned to the Company as and to the extent that, after giving effect to such return, the aggregate Revolving Credit Exposures would not exceed the Aggregate Commitment and no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Issuing Bank Agreements</w:t>
      </w:r>
      <w:r>
        <w:rPr>
          <w:rFonts w:ascii="Times New Roman;Times;Serif" w:hAnsi="Times New Roman;Times;Serif"/>
          <w:b w:val="false"/>
          <w:i w:val="false"/>
          <w:caps w:val="false"/>
          <w:smallCaps w:val="false"/>
          <w:sz w:val="20"/>
        </w:rPr>
        <w:t>. Each Issuing Bank agrees that, unless otherwise requested by the Administrative Agent, such Issuing Bank 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Bank expects to issue, amend, renew or 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 whether the amount thereof changed), (iii) on each Business Day on which such Issuing Bank pays any amount in respect of one or more drawings under Letters of Credit, the date of such payment(s) and the amount of such payment(s), (iv) on any Business Day on which the Company fails to reimburse any amount required to be reimbursed to such Issuing Bank on such day, the date of such failure and the amount of such payment in respect of Letters of Credit, (v) at any time any Letter of Credit issued by such Issuing Bank is outstanding, on the last Business Day of each calendar month, information regarding the amount, expiry date, beneficiary and such other information as the Administrative Agent shall reasonably request with respect to each such Letter of Credit and (vi) on any other Business Day, such other information as the Administrative Agent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Letters of Credit Issued for Account of Subsidiaries</w:t>
      </w:r>
      <w:r>
        <w:rPr>
          <w:rFonts w:ascii="Times New Roman;Times;Serif" w:hAnsi="Times New Roman;Times;Serif"/>
          <w:b w:val="false"/>
          <w:i w:val="false"/>
          <w:caps w:val="false"/>
          <w:smallCaps w:val="false"/>
          <w:sz w:val="20"/>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any Issuing Bank (whether arising by contract, at law, in equity or otherwise) against such Subsidiary in respect of such Letter of Credit, the Company (i) shall reimburse, indemnify and compensate the relevant Issuing Bank hereunder for such Letter of Credit (including to reimburse any and all drawings thereunder) in accordance with the terms of this Agreement as if such Letter of Credit had been issued solely for the account of the Company and (ii) irrevocably waives any and all defenses to the extent permitted by applicable law that might otherwise be available to it as a</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Limitations on Issuance and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herein, no Issuing Bank shall be under any obligation to issue any Letter of Credit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issuance of such Letter of Credit would violate one or more policies of such Issuing Bank applicable to letters of credit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agreed by the Administrative Agent and such Issuing Bank, the Letter of Credit is in an initial stated amount less than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Lender is at that time a Defaulting Lender, unless such Issuing Bank has entered into arrangements, including the delivery of cash collateral, satisfactory to such Issuing Bank (in its sole discretion) with the Borrower or such Lender to eliminate such Issuing Bank’s actual or potential Fronting Exposure (after giving effect to Section 2.24(d)) with respect to the Defaulting Lender arising from either the Letter of Credit then proposed to be issued or that Letter of Credit as to which such Issuing Bank has actual or potential LC Exposure, as it may elect in its sole discretion;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Letter of Credit contains any provisions for automatic reinstatement of the stated amount after any drawing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Issuing Bank shall be under any obligation to amend any Letter of Credit if (A) such Issuing Bank would have no obligation at such time to issue the Letter of Credit in its amended form under the terms hereof, or (B) the beneficiary of the Letter of Credit does not accept the proposed amendment to the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tab/>
      </w:r>
      <w:r>
        <w:rPr>
          <w:rFonts w:ascii="Times New Roman;Times;Serif" w:hAnsi="Times New Roman;Times;Serif"/>
          <w:b w:val="false"/>
          <w:i w:val="false"/>
          <w:caps w:val="false"/>
          <w:smallCaps w:val="false"/>
          <w:sz w:val="20"/>
          <w:u w:val="single"/>
        </w:rPr>
        <w:t>Funding of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shall make each Loan to be made by it hereunder on the proposed date thereof solely by wire transfer of Same Day Funds, by 12:00 noon, New York City time, 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account of the Administrative Agent most recently designated by it for such purpose by notice to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Swingline Loans shall be made as provided in Section 2.05. Except in respect of the provisions of this Agreement covering the reimbursement of Letters of Credit, the Administrative Agent will make such Loans available to the Borrower by promptly crediting the funds so received in the aforesaid account of the Administrative Agent to an account of the Borrower designated by the Borrower in the applicable Borrowing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Revolving Loans made to finance the reimbursement of an LC Disbursement as provided in Section 2.06(e) shall be remitted by the Administrative Agent to the relevant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Overnight Bank Funding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 A notice of the Administrative Agent to any Lender or the Borrower with respect to any amount owing under this subsection (b)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r>
      <w:r>
        <w:rPr>
          <w:rFonts w:ascii="Times New Roman;Times;Serif" w:hAnsi="Times New Roman;Times;Serif"/>
          <w:b w:val="false"/>
          <w:i w:val="false"/>
          <w:caps w:val="false"/>
          <w:smallCaps w:val="false"/>
          <w:sz w:val="20"/>
          <w:u w:val="single"/>
        </w:rPr>
        <w:t>Interest Elections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Borrowing initially shall be of the Type specified in the applicable Borrowing Request and, in the case of a Term SOFR Borrowing, shall have an initial Interest Period as specified in such Borrowing Request. Thereafter, the Borrower may elect to convert such Borrowing to a different Type or to continue such Borrowing and, in the case of a Term SOFR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make an election pursuant to this Section, the Borrower shall notify the Administrative Agent of such election (by telephone or irrevocable written notice from the Borrower) by the time that a Borrowing Request would be required under Section 2.03 if the Borrower were requesting a Revolving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signed by the Borrower. Notwithstanding any contrary provision herein, this Section shall not be construed to permit the Borrower to (i) elect an Interest Period for Term SOFR Loans that does not comply with Section 2.02(d) or (ii) convert any Borrowing to a Borrowing of a Type not available under such Borrowing.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telephonic and written Interest Election Request shall specify the following information in compliance with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name of the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election made pursuant to such Interest Election Request,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resulting Borrowing is to be an ABR Borrowing or a Term SOFR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resulting Borrowing is a Term SOFR Borrowing, the Interest Period to be applicable thereto after giving effect to such election, which Interest Period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Election Request requests a Term SOFR Borrowing but does not specify an Interest Period, then the Borrower shall be deemed to have selected an Interest Period of one month’s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receipt of an Interest Election Request, the Administrative Agent shall advise each Lender of the details thereof and of such Lender’s portion of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Company, then, so long as an Event of Default is continuing (i) no outstanding Borrowing may be converted to or continued as a Term SOFR Borrowing and (ii) unless repaid, each Term SOFR Borrowing shall be converted to an ABR Borrowing at the end of the Interest Period applicable thereto, but without duplication for interest payments made by the Borrower on such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tab/>
      </w:r>
      <w:r>
        <w:rPr>
          <w:rFonts w:ascii="Times New Roman;Times;Serif" w:hAnsi="Times New Roman;Times;Serif"/>
          <w:b w:val="false"/>
          <w:i w:val="false"/>
          <w:caps w:val="false"/>
          <w:smallCaps w:val="false"/>
          <w:sz w:val="20"/>
          <w:u w:val="single"/>
        </w:rPr>
        <w:t>Termination and Reduction of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previously terminated, the Commitments shall terminate on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may at any time terminate, or from time to time reduce, the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reduction of the Commitments shall be in an amount that is an integral multiple of $1,000,000 and not less than $10,000,000 and (ii) the Company shall not terminate or reduce the Commitments if, after giving effect to any concurrent prepayment of the Loans in accordance with Section 2.11, the amount of the Total Revolving Credit Exposure would exceed the Aggregate Commitment.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notify the Administrative Agent of any election to terminate or reduce the Commitments under paragraph (b) of this Section by no later than 11:00 a.m., Local Time,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termination of the Commitments delivered by the Company may state that such notice is conditioned upon the effectiveness of other credit facilities or one or more other events specified therein,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tab/>
      </w:r>
      <w:r>
        <w:rPr>
          <w:rFonts w:ascii="Times New Roman;Times;Serif" w:hAnsi="Times New Roman;Times;Serif"/>
          <w:b w:val="false"/>
          <w:i w:val="false"/>
          <w:caps w:val="false"/>
          <w:smallCaps w:val="false"/>
          <w:sz w:val="20"/>
          <w:u w:val="single"/>
        </w:rPr>
        <w:t>Repayment of Loans; 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hereby unconditionally promises to pay (i) to the Administrative Agent for the account of each Lender the then unpaid principal amount of each Revolving Loan made to the Borrower on the Maturity Date and (ii) to the Swingline Lender the then unpaid principal amount of each Swingline Loan made to the Borrower on the earlier to occur of (x) the date ten (10) Business Days after such Swingline Loan is made and (y)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 each date that a Revolving Borrowing is made, the Borrower shall repay all Swingline Loans made to the Borrower then outstanding and the proceeds of any such Borrowing shall be applied by the Administrative Agent to repay any Swingline Loans outstanding. At any time that there shall exist a Defaulting Lender, immediately upon the request of the Swingline Lender, the Borrower shall repay the outstanding Swingline Loans made by the Swingline Lender in an amount sufficient to eliminate any Fronting Exposure in respect of such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entries made in the accounts maintained pursuant to paragraph (b) or (c) of this Section shall be </w:t>
      </w:r>
      <w:r>
        <w:rPr>
          <w:rFonts w:ascii="Times New Roman;Times;Serif" w:hAnsi="Times New Roman;Times;Serif"/>
          <w:b w:val="false"/>
          <w:i w:val="false"/>
          <w:caps w:val="false"/>
          <w:smallCaps w:val="false"/>
          <w:sz w:val="20"/>
          <w:u w:val="single"/>
        </w:rPr>
        <w:t>prima facie</w:t>
      </w:r>
      <w:r>
        <w:rPr>
          <w:rFonts w:ascii="Times New Roman;Times;Serif" w:hAnsi="Times New Roman;Times;Serif"/>
          <w:b w:val="false"/>
          <w:i w:val="false"/>
          <w:caps w:val="false"/>
          <w:smallCaps w:val="false"/>
          <w:sz w:val="20"/>
        </w:rPr>
        <w:t xml:space="preserve"> evidence of the existence and amounts of the obligations recorded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Lender or the Administrative Agent to maintain such accounts or any error therein shall not in any manner affect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Lender may request that Loans made by it to the Borrower be evidenced by a promissory note. In such event, the Borrower shall prepare, execute and deliver to such Lender a promissory note payable to such Lender and its registered assigns and in the form attached hereto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Thereafter, the Loans evidenced by such promissory note and interest thereon shall at all times (including after assignment pursuant to Section 9.04) be represented by one or more promissory notes in such form payable to the payee named therein and its registered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tab/>
      </w:r>
      <w:r>
        <w:rPr>
          <w:rFonts w:ascii="Times New Roman;Times;Serif" w:hAnsi="Times New Roman;Times;Serif"/>
          <w:b w:val="false"/>
          <w:i w:val="false"/>
          <w:caps w:val="false"/>
          <w:smallCaps w:val="false"/>
          <w:sz w:val="20"/>
          <w:u w:val="single"/>
        </w:rPr>
        <w:t>Prepayment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have the right at any time and from time to time to prepay any Borrowing in whole or in part, without premium or penalty (but subject to break funding payments required by Section 2.16) subject to prior notice in accordance with the provisions of this Section 2.11(a). The Borrower shall notify the Administrative Agent (and, in the case of prepayment of a Swingline Loan, the Swingline Lender) of any prepayment hereunder (i) in the case of prepayment of a Term SOFR Revolving Borrowing, by telephonic notice (promptly followed by written confirmation from the Borrower of such request) not later than 11:00 a.m., Local Time, two (2) Business Days before the date of prepayment, (ii) in the case of prepayment of an ABR Revolving Borrowing, by telephonic notice (promptly followed by written confirmation from the Borrower of such request) not later than 11:00 a.m., New York City time, on the date of prepayment or (iii) in the case of prepayment of a Swingline Loan, by telephonic notice (promptly followed by written confirmation from the Borrower of such request) not later than 12:00 noon, New York City time, on the date of prepayment. Each such notice from the Borrower shall be irrevocable and shall specify the prepayment date and the principal amount of each Borrowing or portion thereof to be prepaid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notice of prepayment delivered by the Borrower may state that such notice is conditioned upon the effectiveness of other credit facilities or one or more other events specified therein, in which case such notice may be revoked by the Borrower (by notice to the Administrative Agent on or prior to the specified effective date) if such condition is not satisfied.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Borrowing. Prepayments shall be accompanied by (i) accrued interest to the extent required by Section 2.13 and (ii) break funding payments to the extent required by Section 2.16.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the aggregate principal amount of the Total Revolving Credit Exposure exceeds the Aggregate Commitment, the Company shall, within two (2) Business Days after receiving notice from the Administrative Agent in respect thereof, repay Borrowings or cash collateralize LC Exposure in an account with the Administrative Agent pursuant to Section 2.06(j), as applicable, in an aggregate principal amount sufficient to cause the amount of the Total Revolving Credit Exposure (so calculated) to be less than or equal to the Aggregate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tab/>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pay to the Administrative Agent for the account of each Lender in accordance with its Applicable Percentage a facility fee, which shall accrue at the applicable Facility Fee Rate (as specified in the definition of “Applicable Rate”) on the actual daily amount of the Aggregate Commitment (or, if the Commitments have been terminated, on the Total Revolving Credit Exposure) during the period from and including the Effective Date to but excluding the date on which the Commitments terminate (and thereafter so long as any Revolving Credit Exposure remains outstanding), whether or not in use. Facility fees accrued through and including the last day of March, June, September and December of each year shall be payable in arrears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last day and on the date on which the Commitments terminate, commencing on the first such date to occur after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facility fees accruing after the date on which the Commitments terminate shall be payable on demand. All facility fees shall be computed on the basis of a year of 360 days and shall be payable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to pay (i) to the Administrative Agent for the account of each Lender a participation fee with respect to its participations in Letters of Credit, which shall accrue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Applicable Rate used to determine the interest rate applicable to Term SOFR Revolving Loans on the actual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relevant Issuing Bank for its own account a fronting fee, which shall accrue at the rate of 0.125% per annum on the actual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on or prior to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following such last day, commencing on the first such date to occur after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agrees to pay to the Administrative Agent, for its own account, fees payable in the amounts and at the times separately agreed upon between the Company and the Administrative Agent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fees payable hereunder shall be paid on the dates due, in Dollars and Same Day Funds, to the Administrative Agent (or to each Issuing Bank, in the case of fees payable to it) for distribution, in the case of facility fees and participation fees, to the Lenders. Fees paid shall not be refundable under any circumstances. To the extent any calculation of any fee required to be paid under this Agreement shall be based on (or result in) a calculation that is less than zero, such calculation shall be deemed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tab/>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Loans comprising each ABR Borrowing (including each Swingline Loan) shall bear interest at the Alternate Base Rate plus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Loans comprising each Term SOFR Borrowing shall bear interest at Term SOFR for the Interest Period in effect for such Borrowing plus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Accrued interest on each Loan shall be payable in arrears on each Interest Payment Date for such Loan and upon termination of the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interest accrued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paragraph (c) of this Section shall be payable by the Borrower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SOFR Loan prior to the end of the current Interest Period therefor, accrued interest on such Loan shall be payable on the effective date of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interest hereunder shall be computed on the basis of a year of 360 days, except that interest computed by reference to the Alternate Base Rate shall be computed on the basis of a year of 365 days (or 366 days in a leap year), and shall be payable for the actual number of days elapsed (including the first day but excluding the last day). Each determination of an interest rate by the Administrative Agent pursuant to any provision of this Agreement shall be conclusive and binding on the Borrower and the Lenders in the absence of manifest error. To the extent any calculation of interest shall be based on (or result in) a calculation that is less than zero, such calculation shall be deemed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tab/>
      </w:r>
      <w:r>
        <w:rPr>
          <w:rFonts w:ascii="Times New Roman;Times;Serif" w:hAnsi="Times New Roman;Times;Serif"/>
          <w:b w:val="false"/>
          <w:i w:val="false"/>
          <w:caps w:val="false"/>
          <w:smallCaps w:val="false"/>
          <w:sz w:val="20"/>
          <w:u w:val="single"/>
        </w:rPr>
        <w:t>Alternate Rate of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in connection with any request for a Term SOFR Loan or a conversion to or continuation thereof, (i) the Administrative Agent determines (which determination shall be conclusive absent manifest error) that (A) no Successor Rate has been determined in accordance with Section 2.14(c), and the circumstances under clause (i) of Section 2.14(c) or the Scheduled Unavailability Date has occurred, or (B) adequate and reasonable means do not otherwise exist for determining Term SOFR for any requested Interest Period with respect to a proposed Term SOFR Loan or in connection with an existing or proposed ABR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 Thereafter, (1) the obligation of the Lenders to make or maintain Term SOFR Loans, or to convert ABR Loans to Term SOFR Loans, shall be suspended (to the extent of the affected Term SOFR Loans or Interest Periods), and (2) in the event of a determination described in the preceding sentence with respect to the Term SOFR component of the Alternate Base Rate, the utilization of the Term SOFR component in determining the Alternate Base Rate shall be suspended, in each case until the Administrative Agent (or, in the case of a determination by the Required Lenders described in clause (ii) of this Section 2.14(a), until the Administrative Agent upon instruction of the Required Lenders) revokes such notice. Upon receipt of such notice, (x) the Borrower may revoke any pending request for a Borrowing of, conversion to, or continuation of Term SOFR Loans (to the extent of the affected Term SOFR Loans or Interest Periods) or, failing that, will be deemed to have converted such request into a request for a Borrowing of ABR Loans in the amount specified therein and (y) any outstanding Term SOFR Loans shall be deemed to have been converted to ABR Loans immediately at the end of their respective applicable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 (i) adequate and reasonable means do not exist for ascertaining one month, three month and six month interest periods of Term SOFR, including because the Term SOFR Screen Rate is not available or published on a current basis and such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circumstances are unlikely to be temporary; or (ii)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Dollar-denominated syndicated loans, or shall or will otherwise cease;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Times;Serif" w:hAnsi="Times New Roman;Times;Serif"/>
          <w:b w:val="false"/>
          <w:i w:val="false"/>
          <w:caps w:val="false"/>
          <w:smallCaps w:val="false"/>
          <w:sz w:val="20"/>
          <w:u w:val="single"/>
        </w:rPr>
        <w:t>Scheduled Unavailability Date</w:t>
      </w:r>
      <w:r>
        <w:rPr>
          <w:rFonts w:ascii="Times New Roman;Times;Serif" w:hAnsi="Times New Roman;Times;Serif"/>
          <w:b w:val="false"/>
          <w:i w:val="false"/>
          <w:caps w:val="false"/>
          <w:smallCaps w:val="false"/>
          <w:sz w:val="20"/>
        </w:rPr>
        <w:t>”); then, on a date and time determined by the Administrative Agent (any such date, the “</w:t>
      </w:r>
      <w:r>
        <w:rPr>
          <w:rFonts w:ascii="Times New Roman;Times;Serif" w:hAnsi="Times New Roman;Times;Serif"/>
          <w:b w:val="false"/>
          <w:i w:val="false"/>
          <w:caps w:val="false"/>
          <w:smallCaps w:val="false"/>
          <w:sz w:val="20"/>
          <w:u w:val="single"/>
        </w:rPr>
        <w:t>Term SOFR Replacement Date</w:t>
      </w:r>
      <w:r>
        <w:rPr>
          <w:rFonts w:ascii="Times New Roman;Times;Serif" w:hAnsi="Times New Roman;Times;Serif"/>
          <w:b w:val="false"/>
          <w:i w:val="false"/>
          <w:caps w:val="false"/>
          <w:smallCaps w:val="false"/>
          <w:sz w:val="20"/>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other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Times;Serif" w:hAnsi="Times New Roman;Times;Serif"/>
          <w:b w:val="false"/>
          <w:i w:val="false"/>
          <w:caps w:val="false"/>
          <w:smallCaps w:val="false"/>
          <w:sz w:val="20"/>
          <w:u w:val="single"/>
        </w:rPr>
        <w:t>Successor Rate</w:t>
      </w:r>
      <w:r>
        <w:rPr>
          <w:rFonts w:ascii="Times New Roman;Times;Serif" w:hAnsi="Times New Roman;Times;Serif"/>
          <w:b w:val="false"/>
          <w:i w:val="false"/>
          <w:caps w:val="false"/>
          <w:smallCaps w:val="false"/>
          <w:sz w:val="20"/>
        </w:rPr>
        <w:t>”). If the Successor Rate is Daily Simple SOFR, all interest payments will be payable on a monthly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(a) if the Administrative Agent determines that Daily Simple SOFR is not available on or prior to the Term SOFR Replacement Date, or (b) if the events or circumstances of the type described in clause (i) or clause (ii) of the immediately preceding paragraph have occurred with respect to the Successor Rate then in effect, then in each case, the Administrative Agent and the Borrower may amend this Agreement solely for the purpose of replacing Term SOFR or any then current Successor Rate in accordance with this Section 2.14(c) at the end of any Interest Period, relevant interest payment date or payment period for interest calculated, as applicable, with an alternative benchmark rate giving due consideration to any evolving or then-existing convention for similar Dollar-denominated credit facilities syndicated and agented in the United States for such alternative benchmark and, in each case, including any mathematical or other adjustments to such benchmark giving due consideration to any evolving or then-existing convention for similar Dollar-denominated credit facilities syndicated and agented in the United States for such benchmark. For the avoidance of doubt, any such proposed rate and adjustments shall constitute a “Successor Rate”. Any such amendment shall become effective at 5:00 p.m., New York City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will promptly (in one or more notices) notify the Borrower and each Lender of the implementation of any Successor Rate. Any Successor Rate shall be applied in a manner consistent with market practice;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market practice is not administratively feasible for the Administrative Agent, such Successor Rate shall be applied in a manner as otherwise reasonably determined by the Administrative Agent. 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implementation of a Successor Rate, the Administrative Agent will have the right to make Conforming Changes from time to time and, notwithstanding anything 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contrary herein or in any other Loan Document, any amendments implementing such Conforming Changes will become effective without any further action or consent of any other party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2.14(c), those Lenders that either have not made, or do not have an obligation under this Agreement to make, the relevant Loans in Dollars shall be excluded from any determination of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tab/>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liquidity or similar requirement (including any compulsory loan requirement, insurance charge or other assessment) against assets of, deposits with or for the account of, or credit extended by, any Lender or any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impose on any Lender or any Issuing Bank or the applicable interbank market any other condition, cost or expense (other than Taxes) affecting this Agreement or Loans made by such Lender or any Letter of Credit or participation therein;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or such other Recipient of making, continuing, converting into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Section 2.15, after consideration of such factors as the Administrative Agent, such Lender or such Issuing Bank, as applicable, then reasonably determines to be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the Commitments of such Lender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for such 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Section 2.15, after consideration of such factors as the Administrative Agent, such Lender or such Issuing Bank, as applicable, then reasonably determines to be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a Lender or an Issuing Bank setting forth, in reasonable detail (for the avoidance of doubt, excluding any confidential or price sensitive information), the basis and calculation of the amount or amounts necessary to compensate such Lender or such Issuing Bank or its respective holding company, as the case may be, as specified in paragraph (a) or (b) of this Section shall be delivered to the Company and shall be conclusive absent manifest error. The Company shall pay such Lender or such Issuing Bank, as the case may be, the amount shown as due on any such certificate within thirty (30)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Failure or delay on the part of any Lender or any Issuing Bank to demand compensation pursuant to this Section shall not constitute a waiver of such Lender’s or such Issuing Bank’s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compensate a Lender or an Issuing Bank pursuant to this Section for any increased costs or reductions incurred more than 120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Change in Law giving rise to such increased costs or reductions is retroactive, then the 120-day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w:t>
        <w:tab/>
      </w:r>
      <w:r>
        <w:rPr>
          <w:rFonts w:ascii="Times New Roman;Times;Serif" w:hAnsi="Times New Roman;Times;Serif"/>
          <w:b w:val="false"/>
          <w:i w:val="false"/>
          <w:caps w:val="false"/>
          <w:smallCaps w:val="false"/>
          <w:sz w:val="20"/>
          <w:u w:val="single"/>
        </w:rPr>
        <w:t>Break Funding Payments</w:t>
      </w:r>
      <w:r>
        <w:rPr>
          <w:rFonts w:ascii="Times New Roman;Times;Serif" w:hAnsi="Times New Roman;Times;Serif"/>
          <w:b w:val="false"/>
          <w:i w:val="false"/>
          <w:caps w:val="false"/>
          <w:smallCaps w:val="false"/>
          <w:sz w:val="20"/>
        </w:rPr>
        <w:t xml:space="preserve">. In the event of (a) the payment of any principal of any Term SOFR Loan other than on the last day of an Interest Period applicable thereto (including as a result of an Event of Default or as a result of any prepayment pursuant to Section 2.11), (b) the conversion of any Term SOFR Loan other than on the last day of the Interest Period applicable thereto, (c) the failure to borrow, convert, continue or prepay any Term SOFR Loan on the date specified in any notice delivered pursuant hereto (regardless of whether such notice may be revoked under Section 2.11(a) and is revoked in accordance therewith) or (d) the assignment of any Term SOFR Loan other than on the last day of the Interest Period applicable thereto as a result of a request by the Company pursuant to Section 2.19(b) or Section 9.02(d), then, in any such event, the Borrower shall compensate each Lender for the loss, cost and expense attributable to such event (other than loss of anticipated profits). Such loss, cost or expense to any Lender shall include any loss or expense arising from the liquidation or redeployment of funds obtained by it to maintain such Loan or from fees payable to terminate the deposits from which such funds were obtained. A certificate of any Lender setting forth any amount or amounts that such Lender is entitled to receive pursuant to this Section, and setting forth in reasonable detail the calculations used by such Lender to determine such amount or amounts, shall be delivered to the Borrower and shall be conclusive absent manifest error. The Borrower shall pay such Lender the amount shown as due on any such certificate within thirty (30) days after receipt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compensate a Lender pursuant to this Section for any amounts under this Section 2.16 incurred more than 120 days prior to the date that such Lender notifies the Borrower of such amount and of such Lender’s intention to claim compensation therefor.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w:t>
        <w:tab/>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2.17(a))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 by the Borrower</w:t>
      </w:r>
      <w:r>
        <w:rPr>
          <w:rFonts w:ascii="Times New Roman;Times;Serif" w:hAnsi="Times New Roman;Times;Serif"/>
          <w:b w:val="false"/>
          <w:i w:val="false"/>
          <w:caps w:val="false"/>
          <w:smallCaps w:val="false"/>
          <w:sz w:val="20"/>
        </w:rPr>
        <w:t>. The Borrower shall timely pay to the relevant Governmental Authority in accordance with applicable law, or at the option of the Administrative Agent timely reimburse it for the payment of, any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As soon as practicable after any payment of Taxes by the Borrower or by the Administrative Agent to a Governmental Authority pursuant to this Section 2.17, the Borrower shall deliver to the Administrative Agent or the Administrative Agent shall deliver to the Borrower, as the case may be, the original or a certified copy of a receipt issued by such Governmental Authority evidencing such payment, a copy of the return reporting such payment or other evidence of such payment reasonably satisfactory to the Administrative Agent or the Borrower,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the Borrower</w:t>
      </w:r>
      <w:r>
        <w:rPr>
          <w:rFonts w:ascii="Times New Roman;Times;Serif" w:hAnsi="Times New Roman;Times;Serif"/>
          <w:b w:val="false"/>
          <w:i w:val="false"/>
          <w:caps w:val="false"/>
          <w:smallCaps w:val="false"/>
          <w:sz w:val="20"/>
        </w:rPr>
        <w:t>. The Borrower shall indemnify each Recipient, within 10 days after demand therefor, for the full amount of any Indemnified Taxes (including Indemnified Taxes imposed or asserted on or attributable to amounts payable under this Section 2.17) payable or paid by such Recipient or required to be withheld or deducted from a payment to such Recipient and any reasonable and documented out-of-pocket expenses arising therefrom or with respect thereto, whether or not such Indemnified Taxes were correctly or legally imposed or asserted by the relevant Governmental Authority. A certificate setting forth in reasonable detail the basis and calculation of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 by the Lenders</w:t>
      </w:r>
      <w:r>
        <w:rPr>
          <w:rFonts w:ascii="Times New Roman;Times;Serif" w:hAnsi="Times New Roman;Times;Serif"/>
          <w:b w:val="false"/>
          <w:i w:val="false"/>
          <w:caps w:val="false"/>
          <w:smallCaps w:val="false"/>
          <w:sz w:val="20"/>
        </w:rPr>
        <w:t>.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to the Lender from any other source against any amount due to the Administrative Agent under this paragraph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(it being understood that the Borrower shall be given a reasonable opportunity to reimburse such Lender with respect to such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the Borrower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Borrower and the Administrative Agent on or prior to the date on which such Lender becomes a Lender under this Agreement (and from time to time thereafter upon the reasonable request of any the Borrower or the Administrative Agent), duly executed copies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each the Borrower and the Administrative Agent (in such number of copies as shall be requested by the recipient) on or prior to the date on which such Foreign Lender becomes a Lender under this Agreement (and from time to time thereafter upon the reasonable request of each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Loan Document, duly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 Foreign Lender claiming that its extension of credit will generate U.S. effectively connected income, duly executed copies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 the case of a Foreign Lender claiming the benefits of the exemption for portfolio interest under Section 881(c) of the Code, (x) a certificate substantially in the form of </w:t>
      </w:r>
      <w:r>
        <w:rPr>
          <w:rFonts w:ascii="Times New Roman;Times;Serif" w:hAnsi="Times New Roman;Times;Serif"/>
          <w:b w:val="false"/>
          <w:i w:val="false"/>
          <w:caps w:val="false"/>
          <w:smallCaps w:val="false"/>
          <w:sz w:val="20"/>
          <w:u w:val="single"/>
        </w:rPr>
        <w:t>Exhibit E-1</w:t>
      </w:r>
      <w:r>
        <w:rPr>
          <w:rFonts w:ascii="Times New Roman;Times;Serif" w:hAnsi="Times New Roman;Times;Serif"/>
          <w:b w:val="false"/>
          <w:i w:val="false"/>
          <w:caps w:val="false"/>
          <w:smallCaps w:val="false"/>
          <w:sz w:val="20"/>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and (y) executed copies of IRS Form W-8BEN or IRS Form W-8BEN-E;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executed copies of IRS Form W-8IMY, accompanied by IRS Form W-8ECI, IRS Form W-8BEN or IRS Form W-8BEN-E, a U.S. Tax Compliance Certificate substantially in the form of </w:t>
      </w:r>
      <w:r>
        <w:rPr>
          <w:rFonts w:ascii="Times New Roman;Times;Serif" w:hAnsi="Times New Roman;Times;Serif"/>
          <w:b w:val="false"/>
          <w:i w:val="false"/>
          <w:caps w:val="false"/>
          <w:smallCaps w:val="false"/>
          <w:sz w:val="20"/>
          <w:u w:val="single"/>
        </w:rPr>
        <w:t>Exhibit E-2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E-3</w:t>
      </w:r>
      <w:r>
        <w:rPr>
          <w:rFonts w:ascii="Times New Roman;Times;Serif" w:hAnsi="Times New Roman;Times;Serif"/>
          <w:b w:val="false"/>
          <w:i w:val="false"/>
          <w:caps w:val="false"/>
          <w:smallCaps w:val="false"/>
          <w:sz w:val="20"/>
        </w:rPr>
        <w:t xml:space="preserve">,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E-4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each the Borrower and the Administrative Agent (in such number of copies as shall be requested by the recipient) on or prior to the date on which such Foreign Lender becomes a Lender under this Agreement (and from time to time thereafter upon the reasonable request of any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each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each the Borrower and the Administrative Agent at the time or times prescribed by law and at such time or times reasonably requested by any the Borrower or the Administrative Agent such documentation prescribed by applicable law (including as prescribed by Section 1471(b)(3)(C)(i) of the Code) and such additional documentation reasonably requested by any the Borrower or the Administrative Agent as may be necessary for each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FATCA” shall include any amendments made to FATCA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For purposes of this Section 2.17, the term “Lender” includes each Issuing Bank and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w:t>
        <w:tab/>
      </w:r>
      <w:r>
        <w:rPr>
          <w:rFonts w:ascii="Times New Roman;Times;Serif" w:hAnsi="Times New Roman;Times;Serif"/>
          <w:b w:val="false"/>
          <w:i w:val="false"/>
          <w:caps w:val="false"/>
          <w:smallCaps w:val="false"/>
          <w:sz w:val="20"/>
          <w:u w:val="single"/>
        </w:rPr>
        <w:t>Payments Generally; Pro Rata Treatment; Sharing of Set-offs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make each payment required to be made by it hereunder (whether of principal, interest, fees or reimbursement of LC Disbursements, or of amounts payable under Section 2.15, 2.16 or 2.17, or otherwise) prior to 2:00 p.m., New York City time on the date when due, in Same Day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in Dollars to the Administrative Agent’s Office, except payments to be made directly to any Issuing Bank or the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shall be extended to the next succeeding Business Day, and, in the case of any payment accruing interest, interest thereon shall be payable for the period of such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Section 2.24(b), 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The Borrower consents to the foregoing and agrees, to the extent it may effectively do so under applicable law, that any Lender acquiring a participation relating to any Obligations owed by the Borrower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Times;Serif" w:hAnsi="Times New Roman;Times;Serif"/>
          <w:b w:val="false"/>
          <w:i w:val="false"/>
          <w:caps w:val="false"/>
          <w:smallCaps w:val="false"/>
          <w:sz w:val="20"/>
          <w:u w:val="single"/>
        </w:rPr>
        <w:t>Rescindable Amount</w:t>
      </w:r>
      <w:r>
        <w:rPr>
          <w:rFonts w:ascii="Times New Roman;Times;Serif" w:hAnsi="Times New Roman;Times;Serif"/>
          <w:b w:val="false"/>
          <w:i w:val="false"/>
          <w:caps w:val="false"/>
          <w:smallCaps w:val="false"/>
          <w:sz w:val="20"/>
        </w:rPr>
        <w:t>”): (i) the Borrower has not in fact made such payment; (ii) the Administrative Agent has made a payment in excess of the amount so paid by the Borrower (whether or not then owed); or (iii) the Administrative Agent has for any reason otherwise erroneously made such payment; then each of the Lenders or the applicable Issuing Bank, as the case may be, severally agrees to repay to the Administrative Agent forthwith on demand the Rescindable Amount so distributed to such Lender or such Issuing Bank, in immediately available funds with interest thereon, for each day from and including the date such amount is distributed to it to but excluding the date of payment 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at the greater of the Overnight Bank Funding Rate and a rate determined by the Administrative Agent in accordance with banking industry rules on interbank compensation. A notice of the Administrative Agent to any Lender with respect to any amount owing under this subsection (d)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Lender shall fail to make any payment required to be made by it pursuant to Section 2.05(c), 2.06(d) or (e), 2.07(b), 2.18(d) or 9.03(c), then the Administrative Agent may, in its discretion (notwithstanding any contrary provision hereof), (i) apply any amounts thereafter received by the Administrative Agent for the account of such Lender and for the benefit of the Administrative Agent, the Swingline Lender or the Issuing Banks to satisfy such Lender’s obligations to it under such Section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2.19</w:t>
        <w:tab/>
      </w:r>
      <w:r>
        <w:rPr>
          <w:rFonts w:ascii="Times New Roman;Times;Serif" w:hAnsi="Times New Roman;Times;Serif"/>
          <w:b w:val="false"/>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Lender requests compensation under Section 2.15, or if the Borrower is required to pay any Indemnified Taxes or additional amounts to any Lender or any Governmental Authority for the account of any Lender pursuant to Section 2.17, or if any Lender gives notice pursuant to Section 2.22,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2.15 or 2.17, as the case may be, in the future, or eliminate the need for the notice pursuant to Section 2.22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 any Lender requests compensation under Section 2.15, (ii) the Borrower is required to pay any Indemnified Taxes or additional amounts to any Lender or any Governmental Authority for the account of any Lender pursuant to Section 2.17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to the extent such consent would be required pursuant to Section 9.04(b), the Company shall have received the prior written consent of the Administrative Agent (and if a Commitment is being assigned, the Swingline Lender and the Issuing Banks), which consent shall not unreasonably be withheld, delayed or conditioned, (B) such Lender shall have received payment of an amount equal to the outstanding principal of its Loans and participations in LC Disbursements and Swingline Loans, accrued interest thereon, accrued fees and all other amounts payable to it hereunder (including amounts payable pursuant to Section 2.16), from the assignee (to the extent of such outstanding principal and accrued interest and fees) or the Company (in the case of all other amounts) and (C)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thereto, as a result of a waiver by such Lender or otherwise, the circumstances entitling the Company to require such assignment and delegation cease to apply. Each party hereto agrees that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such documents shall be without recourse to or warranty by the parties thereto. Notwithstanding anything in this Section 2.19(b) or Section 9.02(d) to the contrary, (x) any Lender that acts as an Issuing Bank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Issuing Bank or the depositing of cash collateral in amounts and pursuant to arrangements reasonably satisfactory to such Issuing Bank) have been made with respect to such outstanding Letter of Credit and (y) the Administrative Agent may not be replaced hereunder, in its capacity as such, except in accordance with the terms of Section 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2.20</w:t>
        <w:tab/>
      </w:r>
      <w:r>
        <w:rPr>
          <w:rFonts w:ascii="Times New Roman;Times;Serif" w:hAnsi="Times New Roman;Times;Serif"/>
          <w:b w:val="false"/>
          <w:i w:val="false"/>
          <w:caps w:val="false"/>
          <w:smallCaps w:val="false"/>
          <w:sz w:val="20"/>
          <w:u w:val="single"/>
        </w:rPr>
        <w:t>Expansion Option</w:t>
      </w:r>
      <w:r>
        <w:rPr>
          <w:rFonts w:ascii="Times New Roman;Times;Serif" w:hAnsi="Times New Roman;Times;Serif"/>
          <w:b w:val="false"/>
          <w:i w:val="false"/>
          <w:caps w:val="false"/>
          <w:smallCaps w:val="false"/>
          <w:sz w:val="20"/>
        </w:rPr>
        <w:t>. The Company may from time to time elect to increase the Commitments or enter into one or more tranches of term loans (each, an “</w:t>
      </w:r>
      <w:r>
        <w:rPr>
          <w:rFonts w:ascii="Times New Roman;Times;Serif" w:hAnsi="Times New Roman;Times;Serif"/>
          <w:b w:val="false"/>
          <w:i w:val="false"/>
          <w:caps w:val="false"/>
          <w:smallCaps w:val="false"/>
          <w:sz w:val="20"/>
          <w:u w:val="single"/>
        </w:rPr>
        <w:t>Incremental Term Loan</w:t>
      </w:r>
      <w:r>
        <w:rPr>
          <w:rFonts w:ascii="Times New Roman;Times;Serif" w:hAnsi="Times New Roman;Times;Serif"/>
          <w:b w:val="false"/>
          <w:i w:val="false"/>
          <w:caps w:val="false"/>
          <w:smallCaps w:val="false"/>
          <w:sz w:val="20"/>
        </w:rPr>
        <w:t>”) pursuant to an Incremental Facility Amendment and, as appropriate, the other Loan Documents, in each case in minimum increments of $50,000,000 so long as, after giving effect thereto, the aggregate amount of all such increases and all such Incremental Term Loans does not exceed $500,000,000. The Company may arrange for any such increase or tranche to be provided by one or more Lenders (each Lender so agreeing to an increase in its Commitment, or to participate in such Incremental Term Loans, an “</w:t>
      </w:r>
      <w:r>
        <w:rPr>
          <w:rFonts w:ascii="Times New Roman;Times;Serif" w:hAnsi="Times New Roman;Times;Serif"/>
          <w:b w:val="false"/>
          <w:i w:val="false"/>
          <w:caps w:val="false"/>
          <w:smallCaps w:val="false"/>
          <w:sz w:val="20"/>
          <w:u w:val="single"/>
        </w:rPr>
        <w:t>Increasing Lender</w:t>
      </w:r>
      <w:r>
        <w:rPr>
          <w:rFonts w:ascii="Times New Roman;Times;Serif" w:hAnsi="Times New Roman;Times;Serif"/>
          <w:b w:val="false"/>
          <w:i w:val="false"/>
          <w:caps w:val="false"/>
          <w:smallCaps w:val="false"/>
          <w:sz w:val="20"/>
        </w:rPr>
        <w:t>”), or by one or more new banks, financial institutions or other entities (each such new bank, financial institution or other entity, an “</w:t>
      </w:r>
      <w:r>
        <w:rPr>
          <w:rFonts w:ascii="Times New Roman;Times;Serif" w:hAnsi="Times New Roman;Times;Serif"/>
          <w:b w:val="false"/>
          <w:i w:val="false"/>
          <w:caps w:val="false"/>
          <w:smallCaps w:val="false"/>
          <w:sz w:val="20"/>
          <w:u w:val="single"/>
        </w:rPr>
        <w:t>Augmenting Lender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Ineligible Institution may be an Augmenting Lender), which agree to increase their existing Commitments, or to participate in such Incremental Term Loans, or provide new Commitments,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Augmenting Lender shall be subject to the approval of the Company, the Administrative Agent and, if the Augmenting Lender is providing a new or increased Commitment with respect to Revolving Loans, the Swingline Lender and the Issuing Banks (such approvals not to be unreasonably withheld, delayed or conditioned) and (ii) (x) in the case of an Increasing Lender, the Company and such Increasing Lender execute an agreement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and (y) in the case of an Augmenting Lender, the Company and such Augmenting Lender execute an agreement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No consent of any Lender (other than the Lenders participating in the increase or any Incremental Term Loan) shall be required for any increase in Commitments or Incremental Term Loan pursuant to this Section 2.20. Increases and new Commitments and Incremental Term Loans created pursuant to this Section 2.20 shall become effective on the date agreed by the Company, the Administrative Agent and the relevant Increasing Lenders or Augmenting Lenders (as the case may be), and the Administrative Agent shall notify each Lender thereof. Notwithstanding the foregoing, no increase in the Commitments (or in the Commitment of any Lender) or tranche of Incremental Term Loans shall become effective under this paragraph unless, (A) on the proposed date of the effectiveness of such increase or Incremental Term Loans, (1) the conditions set forth in paragraphs (a) and (b) of Section 4.02 shall be satisfied or waived by the Required Lenders and the Administrative Agent shall have received a certificate on behalf of the Company to that effect dated such date and executed by a Responsible Officer of the Company and (2) the Company shall be in compliance (on a pro forma basis, giving effect to the proviso in Section 6.04(a) if the proceeds from the applicable increase in the Commitments or Incremental Term</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as the case may be, are to be applied to fund the consideration for a Qualified Acquisition for which the Total Net Leverage Ratio is being increased pursuant to such proviso) with the covenant contained in Section 6.04 and (B) to the extent reasonably requested by the Administrative Agent, the Administrative Agent shall have received documents and opinions of the same type, to the extent applicable, as those delivered on the Effective Date as to the organizational power and authority of the Borrower to borrow hereunder after giving effect to such increase (or to the extent the resolutions delivered on the Effective Date approve such matters, a certification from the Borrower that the resolutions delivered on the Effective Date remain in full force and effect and have not been amended or otherwise modified since the adoption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effective date of any increase in the Commitments or any Incremental Term Loans being made, (a) each relevant Increasing Lender and Augmenting Lender shall make available to the Administrative Agent such amounts in Same Day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(b) the Borrower shall be deemed to have repaid and reborrowed all outstanding Revolving Loans owed by the Borrower as of the date of any increase in the Commitments (with such reborrowing to consist of the Types of Revolving Loans, with related Interest Periods if applicable, specified in a notice delivered by the Borrower, together with the Company, in accordance with the requirements of Section 2.03). The deemed payments made pursuant to clause (b) of the immediately preceding sentence shall be accompanied by payment of all accrued interest on the amount prepaid and, in respect of each Term SOFR Loan, shall be subject to indemnification by the Borrower pursuant to the provisions of Section 2.16 if the deemed payment occurs other than on the last day of the related Interest Periods. The Incremental Term Loans (i) shall rank pari passu in right of payment with the Revolving Loans, (ii) shall not mature earlier than the Maturity Date (but may have amortization and/or customary prepayments prior to such date) and (iii) subject to the foregoing clause (ii), shall be treated substantially the same as (and in any event no more favorably than) the Revolving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terms and conditions applicable to any tranche of Incremental Term Loans maturing after the Maturity Date may provide for material additional or different financial or other covenants or prepayment requirements applicable only during periods after the Maturity Date and (B) the Incremental Term Loans may be priced differently (whether in the form of interest rate margin, upfront fees, original issue discount, call protection or otherwise) than the Revolving Loans. The Incremental Facility Amendment may, without the consent of any other Lenders, effect such amendments to this Agreement and the other Loan Documents as may be necessary or appropriate, in the reasonable opinion of the Administrative Agent, to effect the provisions of this Section 2.20. Nothing contained in this Section 2.20 shall constitute, or otherwise be deemed to be, a commitment on the part of any Lender to increase its Commitment hereunder, or provide Incremental Term Loans,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2.21</w:t>
        <w:tab/>
      </w:r>
      <w:r>
        <w:rPr>
          <w:rFonts w:ascii="Times New Roman;Times;Serif" w:hAnsi="Times New Roman;Times;Serif"/>
          <w:b w:val="false"/>
          <w:i w:val="false"/>
          <w:caps w:val="false"/>
          <w:smallCaps w:val="false"/>
          <w:sz w:val="20"/>
          <w:u w:val="single"/>
        </w:rPr>
        <w:t>Extension of Maturity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Requests for Extension</w:t>
      </w:r>
      <w:r>
        <w:rPr>
          <w:rFonts w:ascii="Times New Roman;Times;Serif" w:hAnsi="Times New Roman;Times;Serif"/>
          <w:b w:val="false"/>
          <w:i w:val="false"/>
          <w:caps w:val="false"/>
          <w:smallCaps w:val="false"/>
          <w:sz w:val="20"/>
        </w:rPr>
        <w:t>. The Company may, by notice to the Administrative Agent (who shall promptly notify the Lenders) at any time, request that each Lender extend such Lender’s Maturity Date to the date that is one year after the Maturity Date then in effect for such Lender (the “</w:t>
      </w:r>
      <w:r>
        <w:rPr>
          <w:rFonts w:ascii="Times New Roman;Times;Serif" w:hAnsi="Times New Roman;Times;Serif"/>
          <w:b w:val="false"/>
          <w:i w:val="false"/>
          <w:caps w:val="false"/>
          <w:smallCaps w:val="false"/>
          <w:sz w:val="20"/>
          <w:u w:val="single"/>
        </w:rPr>
        <w:t>Existing Maturity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not more than a single extension of the Maturity Date may be effected in any period of twelve (12) consecutive months, (ii) no more than three (3) extensions of the Maturity Date shall be permitted hereunder and (iii) after giving effect to any extension, each extending Lender’s Maturity Date may not be more than five (5) years after the applicable Extension Date (as defined below). The date of effectiveness of any extension of any Lender’s Maturity Date pursuant to this Section 2.21 is referred to as an “</w:t>
      </w:r>
      <w:r>
        <w:rPr>
          <w:rFonts w:ascii="Times New Roman;Times;Serif" w:hAnsi="Times New Roman;Times;Serif"/>
          <w:b w:val="false"/>
          <w:i w:val="false"/>
          <w:caps w:val="false"/>
          <w:smallCaps w:val="false"/>
          <w:sz w:val="20"/>
          <w:u w:val="single"/>
        </w:rPr>
        <w:t>Extension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Lender Elections to Extend</w:t>
      </w:r>
      <w:r>
        <w:rPr>
          <w:rFonts w:ascii="Times New Roman;Times;Serif" w:hAnsi="Times New Roman;Times;Serif"/>
          <w:b w:val="false"/>
          <w:i w:val="false"/>
          <w:caps w:val="false"/>
          <w:smallCaps w:val="false"/>
          <w:sz w:val="20"/>
        </w:rPr>
        <w:t>. Each Lender, acting in its sole and individual discretion, shall, by notice to the Administrative Agent given not later than the date that is 15 days after the date on which the Administrative Agent received the Company’s extension request (the “</w:t>
      </w:r>
      <w:r>
        <w:rPr>
          <w:rFonts w:ascii="Times New Roman;Times;Serif" w:hAnsi="Times New Roman;Times;Serif"/>
          <w:b w:val="false"/>
          <w:i w:val="false"/>
          <w:caps w:val="false"/>
          <w:smallCaps w:val="false"/>
          <w:sz w:val="20"/>
          <w:u w:val="single"/>
        </w:rPr>
        <w:t>Lender Notice Date</w:t>
      </w:r>
      <w:r>
        <w:rPr>
          <w:rFonts w:ascii="Times New Roman;Times;Serif" w:hAnsi="Times New Roman;Times;Serif"/>
          <w:b w:val="false"/>
          <w:i w:val="false"/>
          <w:caps w:val="false"/>
          <w:smallCaps w:val="false"/>
          <w:sz w:val="20"/>
        </w:rPr>
        <w:t>”), advise the Administrative Agent whether or not such Lender agrees to such extension (each Lender that determines to so extend its Maturity Date, an “</w:t>
      </w:r>
      <w:r>
        <w:rPr>
          <w:rFonts w:ascii="Times New Roman;Times;Serif" w:hAnsi="Times New Roman;Times;Serif"/>
          <w:b w:val="false"/>
          <w:i w:val="false"/>
          <w:caps w:val="false"/>
          <w:smallCaps w:val="false"/>
          <w:sz w:val="20"/>
          <w:u w:val="single"/>
        </w:rPr>
        <w:t>Extending Lender</w:t>
      </w:r>
      <w:r>
        <w:rPr>
          <w:rFonts w:ascii="Times New Roman;Times;Serif" w:hAnsi="Times New Roman;Times;Serif"/>
          <w:b w:val="false"/>
          <w:i w:val="false"/>
          <w:caps w:val="false"/>
          <w:smallCaps w:val="false"/>
          <w:sz w:val="20"/>
        </w:rPr>
        <w:t>”). Each Lender that determines not to so extend its Maturity Date (a “</w:t>
      </w:r>
      <w:r>
        <w:rPr>
          <w:rFonts w:ascii="Times New Roman;Times;Serif" w:hAnsi="Times New Roman;Times;Serif"/>
          <w:b w:val="false"/>
          <w:i w:val="false"/>
          <w:caps w:val="false"/>
          <w:smallCaps w:val="false"/>
          <w:sz w:val="20"/>
          <w:u w:val="single"/>
        </w:rPr>
        <w:t>Non-Extending Lender</w:t>
      </w:r>
      <w:r>
        <w:rPr>
          <w:rFonts w:ascii="Times New Roman;Times;Serif" w:hAnsi="Times New Roman;Times;Serif"/>
          <w:b w:val="false"/>
          <w:i w:val="false"/>
          <w:caps w:val="false"/>
          <w:smallCaps w:val="false"/>
          <w:sz w:val="20"/>
        </w:rPr>
        <w:t>”) shall notify the Administrative Agent of such fact promptly after such determination (but in any event no later than the Lender Notice Date), and any Lender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Company for extension of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Notification by Administrative Agent</w:t>
      </w:r>
      <w:r>
        <w:rPr>
          <w:rFonts w:ascii="Times New Roman;Times;Serif" w:hAnsi="Times New Roman;Times;Serif"/>
          <w:b w:val="false"/>
          <w:i w:val="false"/>
          <w:caps w:val="false"/>
          <w:smallCaps w:val="false"/>
          <w:sz w:val="20"/>
        </w:rPr>
        <w:t>. The Administrative Agent shall notify the Company of each Lender’s determination under this Section no later than the date that is 15 days prior to the applicable Extension Date (or, if such date is not a Business Day, on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Additional Commitment Lenders</w:t>
      </w:r>
      <w:r>
        <w:rPr>
          <w:rFonts w:ascii="Times New Roman;Times;Serif" w:hAnsi="Times New Roman;Times;Serif"/>
          <w:b w:val="false"/>
          <w:i w:val="false"/>
          <w:caps w:val="false"/>
          <w:smallCaps w:val="false"/>
          <w:sz w:val="20"/>
        </w:rPr>
        <w:t>. The Company shall have the right, but shall not be obligated, on or before the applicable Maturity Date for any Non-Extending Lender to replace such Non-Extending Lender with, and add as “Lenders” under this Agreement in place thereof, one or more financial institutions that are not Ineligible Institutions (each, an “</w:t>
      </w:r>
      <w:r>
        <w:rPr>
          <w:rFonts w:ascii="Times New Roman;Times;Serif" w:hAnsi="Times New Roman;Times;Serif"/>
          <w:b w:val="false"/>
          <w:i w:val="false"/>
          <w:caps w:val="false"/>
          <w:smallCaps w:val="false"/>
          <w:sz w:val="20"/>
          <w:u w:val="single"/>
        </w:rPr>
        <w:t>Additional Commitment Lender</w:t>
      </w:r>
      <w:r>
        <w:rPr>
          <w:rFonts w:ascii="Times New Roman;Times;Serif" w:hAnsi="Times New Roman;Times;Serif"/>
          <w:b w:val="false"/>
          <w:i w:val="false"/>
          <w:caps w:val="false"/>
          <w:smallCaps w:val="false"/>
          <w:sz w:val="20"/>
        </w:rPr>
        <w:t>”) approved by the Administrative Agent in accordance with the procedures provided in Section 2.19(b), each of which Additional Commitment Lenders shall have entered into an Assignment and Assumption (in accordance with and subject to the restrictions contained in Section 9.04, with the Company or replacement Lender obligated to pay any applicable processing or recordation fee) with such Non-Extending Lender, pursuant to which such Additional Commitment Lenders shall, effective on or before the applicable Maturity Date for such Non-Extending Lender, assume a Commitment (and, if any such Additional Commitment Lender is already a Lender, its Commitment shall be in addition to such Lender’s Commitment hereunder on such date). Prior to any Non-Extending Lender being replaced by one or more Additional Commitment Lenders pursuant hereto, such Non-Extending Lender may elect, in its sole discretion, by giving irrevocable notice thereof to the Administrative Agent and the Company (which notice shall set forth such Lender’s new Maturity Date), to become an Extending Lender. The Administrative Agent may effect such amendments to this Agreement as are reasonably necessary to provide for any such extensions with the consent of the Company but without the consent of any other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Effective Date of Extension</w:t>
      </w:r>
      <w:r>
        <w:rPr>
          <w:rFonts w:ascii="Times New Roman;Times;Serif" w:hAnsi="Times New Roman;Times;Serif"/>
          <w:b w:val="false"/>
          <w:i w:val="false"/>
          <w:caps w:val="false"/>
          <w:smallCaps w:val="false"/>
          <w:sz w:val="20"/>
        </w:rPr>
        <w:t>. Effective as of the applicable Extension Date, the Maturity Date of each Extending Lender and of each Additional Commitment Lender shall be extended to the date that is one year after the Existing Maturity Date (except that, if such date is not a Business Day, such Maturity Date as so extended shall be the next preceding Business Day) and each Additional Commitment Lender shall thereupon become a “Lender” for all purposes of this Agreement and shall be bound by the provisions of this Agreement as a Lender hereunder and shall have the obligations of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Conditions to Effectiveness of Extension</w:t>
      </w:r>
      <w:r>
        <w:rPr>
          <w:rFonts w:ascii="Times New Roman;Times;Serif" w:hAnsi="Times New Roman;Times;Serif"/>
          <w:b w:val="false"/>
          <w:i w:val="false"/>
          <w:caps w:val="false"/>
          <w:smallCaps w:val="false"/>
          <w:sz w:val="20"/>
        </w:rPr>
        <w:t>. Notwithstanding the foregoing, any extension of any Maturity Date pursuant to this Section 2.21 shall not be effective with respect to any Extending Lender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shall have occurred and be continuing on the applicable Extension Date and immediately after giving effect thereto; and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representations and warranties of the Borrower set forth in this Agreement (excluding the representations and warranties set forth in Sections 3.04(b) and 3.06(a)) are true and correct in all material respects (or, in the case of any representation or warranty qualified by materiality or Material Adverse Effect, in all respects) on and as of the applicable Extension Date and after giving effect thereto, as though made on and as of such date (or, if any such representation or warranty is expressly stated to have been made as of a specific date, as of such specific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Administrative Agent shall have received a certificate from the Company signed by a Responsible Officer of the Company, delivered on behalf of the Company, (A) certifying the accuracy of the foregoing clauses (i) and (ii) and (B) certifying and attaching the resolutions adopted by the Borrower approving or consenting to such extension (or to the extent the resolutions delivered on the Effective Date approve such matters, a certification from the Borrower that the resolutions delivered on the Effective Date remain in full force and effect and have not been amended or otherwise modified since the adoption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Maturity Date for Non-Extending Lenders</w:t>
      </w:r>
      <w:r>
        <w:rPr>
          <w:rFonts w:ascii="Times New Roman;Times;Serif" w:hAnsi="Times New Roman;Times;Serif"/>
          <w:b w:val="false"/>
          <w:i w:val="false"/>
          <w:caps w:val="false"/>
          <w:smallCaps w:val="false"/>
          <w:sz w:val="20"/>
        </w:rPr>
        <w:t>. On the Maturity Date of each Non-Extending Lender, (i) the Commitment of each Non-Extending Lender shall automatically terminate and (ii) the Company shall repay such Non-Extending Lender in accordance with Section 2.10 (and shall pay to such Non-Extending Lender all of the other Obligations owing to it under this Agreement) and after giving effect thereto shall prepay any Revolving Loans outstanding on such date (and pay any additional amounts required pursuant to Section 2.16) to the extent necessary to keep outstanding Revolving Loans ratable with any revised Applicable Percentages of the respective Lenders effective as of such date, and the Administrative Agent shall administer any necessary reallocation of the Revolving Credit Exposures (without regard to any minimum borrowing, pro rata borrowing and/or pro rata payment requirements contained elsewhere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Conflicting Provisions</w:t>
      </w:r>
      <w:r>
        <w:rPr>
          <w:rFonts w:ascii="Times New Roman;Times;Serif" w:hAnsi="Times New Roman;Times;Serif"/>
          <w:b w:val="false"/>
          <w:i w:val="false"/>
          <w:caps w:val="false"/>
          <w:smallCaps w:val="false"/>
          <w:sz w:val="20"/>
        </w:rPr>
        <w:t>. This Section shall supersede any provisions in Section 2.18 or Section 9.02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2.22</w:t>
        <w:tab/>
      </w:r>
      <w:r>
        <w:rPr>
          <w:rFonts w:ascii="Times New Roman;Times;Serif" w:hAnsi="Times New Roman;Times;Serif"/>
          <w:b w:val="false"/>
          <w:i w:val="false"/>
          <w:caps w:val="false"/>
          <w:smallCaps w:val="false"/>
          <w:sz w:val="20"/>
          <w:u w:val="single"/>
        </w:rPr>
        <w:t>Illegality</w:t>
      </w:r>
      <w:r>
        <w:rPr>
          <w:rFonts w:ascii="Times New Roman;Times;Serif" w:hAnsi="Times New Roman;Times;Serif"/>
          <w:b w:val="false"/>
          <w:i w:val="false"/>
          <w:caps w:val="false"/>
          <w:smallCaps w:val="false"/>
          <w:sz w:val="20"/>
        </w:rPr>
        <w:t>. 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or continue Term SOFR Loans or to convert ABR Loans to Term SOFR Loans shall be suspended, and (b) if such notice asserts the illegality of such Lender making or maintaining ABR Loans the interest rate on which is determined by reference to the Term SOFR component of the Alternate Base Rate, the interest rate on ABR Loans of such Lender shall, if necessary to avoid such illegality, be determined by the Administrative Agent without reference to the Term SOFR component of the Alternate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SOFR Loans of such Lender to ABR Loans (the interest rate on which ABR Loans of such Lender shall, if necessary to avoid such illegality, be determined by the Administrative Agent without reference to the Term SOFR component of the Alternate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during the period of such suspension compute the Alternate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Section 2.16.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2.23</w:t>
        <w:tab/>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2.24</w:t>
        <w:tab/>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fees shall cease to accrue on the unfunded portion of the Commitment of such Defaulting Lender pursuant to Section 2.12(a) (it being understood and agreed that, with respect to any fee not required to be paid to any Defaulting Lender pursuant to this clause (a), the Borrower shall pay to each non-Defaulting Lender that portion of any such fee otherwise payable to such Defaulting Lender with respect to such Defaulting Lender’s Swingline Exposure and LC Exposure that has been reallocated to such non-Defaulting Lender pursuant to clause (d)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 of principal, interest, fees or other amounts received by the Administrative Agent for the account of such Defaulting Lender (whether voluntary or mandatory, at maturity or otherwise)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Issuing Banks or the Swingline Lender hereunder; third, to cash collateralize the relevant Issuing Bank’s LC Exposure with respect to such Defaulting Lender in accordance with this Section; fourth, as the Company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Company, to be held in a deposit account and released pro rata in order to (x) satisfy such Defaulting Lender’s potential future funding obligations with respect to Loans under this Agreement and (y) cash collateralize the relevant Issuing Bank’s future LC Exposure with respect to such Defaulting Lender with respect to future Letters of Credit issued under this Agreement, in accordance with this Section; sixth, to the payment of any amounts owing to the Lenders, the Issuing Banks or the Swingline Lender as a result of any judgment of a court of competent jurisdiction obtained by any Lender, any Issuing Bank or the Swingline Lender against such Defaulting Lender as a result of such Defaulting Lender’s breach of its obligations under this Agreement or under any other Loan Document; seventh,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eighth,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amendment, waiver or other modification requiring the consent of all Lenders or all Lenders directly affected thereby shall not, except as otherwise provided in Section 9.02, require the consent of such Defaulting Lender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Swingline Exposure or LC Exposure exists at the time such Lender becomes a Defaulting Lender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any part of the Swingline Exposure and LC Exposure of such Defaulting Lender shall be reallocated among the non-Defaulting Lenders in accordance with their respective Applicable Percentages but only to the extent that (A) no Default or Event of Default shall be continuing at the time of such reallocation and (B) the sum of all non-Defaulting Lenders’ Revolving Credit Exposures plus such Defaulting Lender’s Swingline Exposure and LC Exposure does not exceed the total of all non-Defaulting Lenders’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reallocation described in clause (i) above cannot, or can only partially, be effected, the Company shall within one (1) Business Day following notice by the Administrative Agent (x) first, prepay such Swingline Exposure and (y) second, cash collateralize for the benefit of each relevant Issuing Bank only 103% of the Borrower’s obligations corresponding to such Defaulting Lender’s LC Exposure (after giving effect to any partial reallocation pursuant to clause (i) above) in accordance with the procedures set forth in Section 2.06(j) for so long as such LC Exposure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Company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LC Exposure of such Defaulting Lender is reallocated pursuant to clause (i) above, then the fees payable to the Lenders pursuant to Section 2.12(b) shall be adjusted in accordance with such non-Defaulting Lenders’ Applicable Percentages;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all or any portion of such Defaulting Lender’s LC Exposure is neither reallocated nor cash collateralized pursuant to clause (i) or (ii) above, then, without prejudice to any rights or remedies of the relevant Issuing Bank or any other Lender hereunder, all letter of credit fees payable under Section 2.12(b) with respect to such Defaulting Lender’s LC Exposure shall be payable to such Issuing Bank until and to the extent that such LC Exposure is reallocated and/or cash collateralized; and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Company in accordance with Section 2.24(d), and Swingline Exposure related to any such newly made Swingline Loan or LC Exposure related to any newly issued or increased Letter of Credit shall be allocated among non-Defaulting Lenders in a manner consistent with Section 2.24(d)(i) (and such Defaulting Lender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a Bankruptcy Event with respect to a Lender Parent shall occur following the Effective Date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Swingline Lender or the relevant Issuing Bank, as the case may be, shall have entered into arrangements with the Company or such Lender, reasonably satisfactory to the Swingline Lender or such Issuing Bank, as the case may be, to defease any risk to it in respect of such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Administrative Agent, the Company,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whereupon such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 while that Lender was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subject to Section 9.17 and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br/>
      </w:r>
      <w:r>
        <w:rPr>
          <w:rFonts w:ascii="Times New Roman;Times;Serif" w:hAnsi="Times New Roman;Times;Serif"/>
          <w:b/>
          <w:i w:val="false"/>
          <w:caps/>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on behalf of itself and its Subsidiaries, represents and warrants to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val="false"/>
          <w:caps w:val="false"/>
          <w:smallCaps w:val="false"/>
          <w:sz w:val="20"/>
          <w:u w:val="single"/>
        </w:rPr>
        <w:t>Organization; Powers; Subsidiaries</w:t>
      </w:r>
      <w:r>
        <w:rPr>
          <w:rFonts w:ascii="Times New Roman;Times;Serif" w:hAnsi="Times New Roman;Times;Serif"/>
          <w:b w:val="false"/>
          <w:i w:val="false"/>
          <w:caps w:val="false"/>
          <w:smallCaps w:val="false"/>
          <w:sz w:val="20"/>
        </w:rPr>
        <w:t xml:space="preserve">. Each of the Borrower and its Subsidiaries (a) is duly organized or incorporated, as the case may be, validly existing and in good standing (to the extent the concept is applicable in such jurisdiction) under the laws of the jurisdiction of its organization or incorporation (as applicable), (b) has all requisite organizational power and authority to carry on its business as now conducted and (c) is qualified to do business in, and (to the extent the concept is applicable in such jurisdiction) is in good standing in, every jurisdiction where its ownership, lease or operation of properties or the conduct of its business requires such qualification, in any such case of clauses (a) (solely with respect to the good standing status of any Subsidiary), (b) (solely with respect to the power and authority of any Subsidiary) and (c), except where the failure to do so could not reasonably be expected to result in a Material Adverse Effect. </w:t>
      </w:r>
      <w:r>
        <w:rPr>
          <w:rFonts w:ascii="Times New Roman;Times;Serif" w:hAnsi="Times New Roman;Times;Serif"/>
          <w:b w:val="false"/>
          <w:i w:val="false"/>
          <w:caps w:val="false"/>
          <w:smallCaps w:val="false"/>
          <w:sz w:val="20"/>
          <w:u w:val="single"/>
        </w:rPr>
        <w:t>Schedule 3.01</w:t>
      </w:r>
      <w:r>
        <w:rPr>
          <w:rFonts w:ascii="Times New Roman;Times;Serif" w:hAnsi="Times New Roman;Times;Serif"/>
          <w:b w:val="false"/>
          <w:i w:val="false"/>
          <w:caps w:val="false"/>
          <w:smallCaps w:val="false"/>
          <w:sz w:val="20"/>
        </w:rPr>
        <w:t xml:space="preserve"> hereto identifies each Subsidiary as of the Effective Date, the jurisdiction of its incorporation or organization, as the case may be, the percentage of issued and outstanding shares of each class of its capital stock or other equity interests owned by the Company and the other Subsidiaries and, if such percentage is not 100% (excluding (i) directors’ qualifying shares and (ii) shares issued 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foreign nationals to the extent required by applicable law), a description of each class issued and outstanding. All of the outstanding shares of capital stock and other equity interests of each Material Subsidiary are validly issued and outstanding and fully paid and nonassessable and all such shares and other equity interests indicated on </w:t>
      </w:r>
      <w:r>
        <w:rPr>
          <w:rFonts w:ascii="Times New Roman;Times;Serif" w:hAnsi="Times New Roman;Times;Serif"/>
          <w:b w:val="false"/>
          <w:i w:val="false"/>
          <w:caps w:val="false"/>
          <w:smallCaps w:val="false"/>
          <w:sz w:val="20"/>
          <w:u w:val="single"/>
        </w:rPr>
        <w:t>Schedule 3.01</w:t>
      </w:r>
      <w:r>
        <w:rPr>
          <w:rFonts w:ascii="Times New Roman;Times;Serif" w:hAnsi="Times New Roman;Times;Serif"/>
          <w:b w:val="false"/>
          <w:i w:val="false"/>
          <w:caps w:val="false"/>
          <w:smallCaps w:val="false"/>
          <w:sz w:val="20"/>
        </w:rPr>
        <w:t xml:space="preserve"> as owned by the Company or another Subsidiary are owned, beneficially and of record, by the Company or any Subsidiary as of the Effective Date free and clear of all Liens, other than Liens permitted pursuant to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Transactions are within the Borrower’s organizational powers and have been duly authorized by all necessary organizational actions and, if required, actions by equity holders of the Borrower. The Loan Documents have been duly executed and delivered by the Borrower and constitute a legal, valid and binding obligation of the Borrower, enforceable against the Borrower in accordance with its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val="false"/>
          <w:caps w:val="false"/>
          <w:smallCaps w:val="false"/>
          <w:sz w:val="20"/>
          <w:u w:val="single"/>
        </w:rPr>
        <w:t>Governmental Approvals; No Conflicts</w:t>
      </w:r>
      <w:r>
        <w:rPr>
          <w:rFonts w:ascii="Times New Roman;Times;Serif" w:hAnsi="Times New Roman;Times;Serif"/>
          <w:b w:val="false"/>
          <w:i w:val="false"/>
          <w:caps w:val="false"/>
          <w:smallCaps w:val="false"/>
          <w:sz w:val="20"/>
        </w:rPr>
        <w:t>. The Transactions (a) do not require any consent or approval of, registration or filing with, or any other action by, any Governmental Authority, except such as have been, or will be by the time required, obtained or made and are, or will be by the time required, in full force and effect, except, in the case of this clause (a), for any such consents, approvals, registrations, filings or actions the failure to obtain or make of which could not reasonably be expected to result in a Material Adverse Effect, (b) will not violate the charter, by-laws, constitution or other organizational documents of the Borrower, (c) will not violate any applicable law or regulation or any order of any Governmental Authority binding upon the Borrower or any of the Material Subsidiaries or its assets, except, in the case of this clause (c), for any such violations that could not reasonably be expected to result in a Material Adverse Effect, (d) will not violate in any material respect or result in a default under any indenture, material agreement or other material instrument binding upon the Company or any of its Material Subsidiaries or its assets, or give rise to a right thereunder to require any payment to be made by the Company or any of its Material Subsidiaries, except, in the case of this clause (d), for any such violations, defaults or rights that could not reasonably be expected to result in a Material Adverse Effect, and (e) will not result in the creation or imposition of any Lien on any asset of the Company or any of its Material Subsidiaries, other than Liens (if any) permitted by Section 6.02(a).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r>
      <w:r>
        <w:rPr>
          <w:rFonts w:ascii="Times New Roman;Times;Serif" w:hAnsi="Times New Roman;Times;Serif"/>
          <w:b w:val="false"/>
          <w:i w:val="false"/>
          <w:caps w:val="false"/>
          <w:smallCaps w:val="false"/>
          <w:sz w:val="20"/>
          <w:u w:val="single"/>
        </w:rPr>
        <w:t>Financial Condition; No Material Adverse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tab/>
        <w:t>(i)</w:t>
        <w:tab/>
        <w:t>The Company has heretofore furnished to the Lenders its consolidated balance sheet and statements of operations, stockholders equity and cash flows as of and for the fiscal year ended December 28, 2025 reported on by Ernst &amp; Young LLP, independent public accountants. Such financial statements present fairly, in all material respects, the financial position of the Company and its consolidated Subsidiaries as of the end of such fiscal year and their results of operations for such fiscal year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heretofore furnished to the Lenders its consolidated balance sheet and statements of operations, stockholders equity and cash flows as of and for the fiscal quarter ended June 28, 2026. Such financial statements present fairly, in all material respects, the financial position of the Company and its consolidated Subsidiaries as of the end of such fiscal quarter and their results of operations for such fiscal quarter on a consolidated basis in accordance with GAAP, subject to normal year-end audit adjustments and the absence of footnotes.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Effective Date and excluding any Disclosed Matters, since December 28, 2025, there has been no material adverse change in the business, results of operations or financial condition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Liens permitted pursuant to Section 6.02, each of the Company and its Subsidiaries has good title to, or (to the knowledge of the Company) valid leasehold interests in, all its real and personal property (other than intellectual property, which is subject to Section 3.05(b)) material to its business, except as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Disclosed Matters or as could not reasonably be expected to result in a Material Adverse Effect, (i) each of the Company and its Subsidiaries owns or is licensed to use (subject to the knowledge-qualified infringement representation in this Section 3.05(b)) all trademarks, trade names, copyrights, patents and other intellectual property material to its business, and (ii) the use thereof by the Company and its Subsidiaries, to the Company’s knowledge, does not infringe upon the rights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tab/>
      </w:r>
      <w:r>
        <w:rPr>
          <w:rFonts w:ascii="Times New Roman;Times;Serif" w:hAnsi="Times New Roman;Times;Serif"/>
          <w:b w:val="false"/>
          <w:i w:val="false"/>
          <w:caps w:val="false"/>
          <w:smallCaps w:val="false"/>
          <w:sz w:val="20"/>
          <w:u w:val="single"/>
        </w:rPr>
        <w:t>Litigation and 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Effective Date and except for Disclosed Matters, there are no actions, suits, proceedings or investigations by or before any arbitrator or Governmental Authority pending against or, to the knowledge of the Company, threatened in writing against or affecting the Company or any of its Subsidiaries (i) that could reasonably be expected to result in a Material Adverse Effect or (ii) that involve this Agreement or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with respect to (x) Disclosed Matters and (y) other matters that could not reasonably be expected to result in a Material Adverse Effect, the Company and its Subsidiaries (i) are in compliance with all applicable Environmental Laws (which compliance includes possession of and compliance with all permits, licenses or other approvals required under applicable Environmental Laws), (ii) are not subject to any Environmental Liability or (iii) have not received written notice of any claim with respect to any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tab/>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of the Company and its Subsidiaries is in compliance with all laws, regulations and orders of any Governmental Authority applicable to it or its property, except (i) for Disclosed Matters or (ii) where the failure to do so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tab/>
      </w:r>
      <w:r>
        <w:rPr>
          <w:rFonts w:ascii="Times New Roman;Times;Serif" w:hAnsi="Times New Roman;Times;Serif"/>
          <w:b w:val="false"/>
          <w:i w:val="false"/>
          <w:caps w:val="false"/>
          <w:smallCaps w:val="false"/>
          <w:sz w:val="20"/>
          <w:u w:val="single"/>
        </w:rPr>
        <w:t>Investment Company Status</w:t>
      </w:r>
      <w:r>
        <w:rPr>
          <w:rFonts w:ascii="Times New Roman;Times;Serif" w:hAnsi="Times New Roman;Times;Serif"/>
          <w:b w:val="false"/>
          <w:i w:val="false"/>
          <w:caps w:val="false"/>
          <w:smallCaps w:val="false"/>
          <w:sz w:val="20"/>
        </w:rPr>
        <w:t>. Neither the Company nor any of its Subsidiaries is required to be registered as an “investment company” as defined in the Investment Company Act of 1940 or subject to regulation as an “investment company”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tab/>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Company and its Subsidiaries has timely filed or caused to be filed all federal income Tax returns and all other material Tax returns and reports required to have been filed by it and has paid, caused to be paid or made a provision for the payment of, all federal income Taxes and all other material Taxes required to have been paid by it, except (a) Taxes that are being contested in good faith by appropriate proceedings and for which the Company or such Subsidiary, as applicable, has set aside on its books adequate reserves in accordance with GAAP or (b) to the extent that the failure to do so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tab/>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No ERISA Event has occurred or is reasonably expected to occur that, when taken together with all other such ERISA Events for which liability is reasonably expected to occur,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tab/>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written information and all information that is formally presented at a general meeting (which may be a telephonic meeting) of the Lenders (in any such case, other than any projections, estimates, forecasts and other forward-looking information and information of a general economic or industry-specific nature) furnished by or on behalf of the Company or any Subsidiary to the Administrative Agent or any Lender pursuant to or in connection with this Agreement or any other Loan Document, when taken as a whole with the Disclosed Matters and after giving effect to all supplements and updates thereto,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forecasts or projections of financial information with respect to the Company or any Subsidiary so furnished to the Administrative Agent or any Lender pursuant to or in connection with this Agreement or any other Loan Document, the Company represents only that such information was prepared in good faith based upon assumptions believed by the Company to be reasonable at the time prepared (it being understood by the Administrative Agent and the Lenders that any such projections are not to be viewed as facts and are subject to significant uncertainties and contingencies, many of which are beyond the control of the Company or its Subsidiaries, that no assurances can be given that such projections will be realized and that actual results may differ materially from such projections). As of the Effective Date, the information included in any Beneficial Ownership Certification delivered by the Borrower hereunder on or prior to the Effective Date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tab/>
      </w:r>
      <w:r>
        <w:rPr>
          <w:rFonts w:ascii="Times New Roman;Times;Serif" w:hAnsi="Times New Roman;Times;Serif"/>
          <w:b w:val="false"/>
          <w:i w:val="false"/>
          <w:caps w:val="false"/>
          <w:smallCaps w:val="false"/>
          <w:sz w:val="20"/>
          <w:u w:val="single"/>
        </w:rPr>
        <w:t>Federal Reserve Regulations</w:t>
      </w:r>
      <w:r>
        <w:rPr>
          <w:rFonts w:ascii="Times New Roman;Times;Serif" w:hAnsi="Times New Roman;Times;Serif"/>
          <w:b w:val="false"/>
          <w:i w:val="false"/>
          <w:caps w:val="false"/>
          <w:smallCaps w:val="false"/>
          <w:sz w:val="20"/>
        </w:rPr>
        <w:t>. No part of the proceeds of any Loan have been used or will be used, whether directly or indirectly, for any purpose that entails a violation of any of the Regulations of the Board, including Regulations T, U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tab/>
      </w:r>
      <w:r>
        <w:rPr>
          <w:rFonts w:ascii="Times New Roman;Times;Serif" w:hAnsi="Times New Roman;Times;Serif"/>
          <w:b w:val="false"/>
          <w:i w:val="false"/>
          <w:caps w:val="false"/>
          <w:smallCaps w:val="false"/>
          <w:sz w:val="20"/>
          <w:u w:val="single"/>
        </w:rPr>
        <w:t>No Default</w:t>
      </w:r>
      <w:r>
        <w:rPr>
          <w:rFonts w:ascii="Times New Roman;Times;Serif" w:hAnsi="Times New Roman;Times;Serif"/>
          <w:b w:val="false"/>
          <w:i w:val="false"/>
          <w:caps w:val="false"/>
          <w:smallCaps w:val="false"/>
          <w:sz w:val="20"/>
        </w:rPr>
        <w:t>. No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tab/>
      </w:r>
      <w:r>
        <w:rPr>
          <w:rFonts w:ascii="Times New Roman;Times;Serif" w:hAnsi="Times New Roman;Times;Serif"/>
          <w:b w:val="false"/>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 The Company has implemented and maintains in effect policies and is implementing procedures reasonably designed to achieve compliance by the Company, its Subsidiaries and their respective directors, officers, employees and agents with Anti-Corruption Laws and applicable Sanctions, and the Company, its Subsidiaries and, to the knowledge of the Company, their respective directors, officers, employees and agents, are in compliance with Anti-Corruption Laws and applicable Sanctions in all material respects.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or other Transactions has violated any Anti-Corruption Law or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tab/>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The Borrower is not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br/>
        <w:t>Conditions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The obligations of the Lenders to make Loans and of the Issuing Banks to issue Letters of Credit hereunder shall not become effective until the date on which each of the following conditions is satisfied (or waived in accordance with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(or its counsel) shall have received (i) from each party hereto either (A) a counterpart of this Agreement signed on behalf of such party or (B) written evidence reasonably satisfactory to the Administrative Agent (which may include telecopy or electronic transmission of a signed signature page to this Agreement) that such party has signed a counterpart of this Agreement and (ii) duly executed copies of other Loan Documents to be executed and delivered on the Effective Date, in each case properly executed by a Responsible Officer of the Borrower and, in the case of this Agreement, by each Lender, the Swingline Lender and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a written opinion (addressed to the Administrative Agent and the Lenders and dated the Effective Date) of Cravath, Swaine &amp; Moore LLP, special New York counsel for the Company, in form and substance reasonably satisfactory to the Administrative Agent and covering such customary matters relating to the Company, the Loan Documents or the Transactions as the Administrative Agent shall reasonably request. The Company hereby requests such counsel to deliver such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such documents and certificates relating to the incorporation, existence and good standing of the Borrower in its jurisdiction of incorporation, the authorization of the Transactions and any other legal matters relating to the Borrower, the Loan Documents or the Transactions, all in form and substance reasonably satisfactory to the Administrative Agent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have received a certificate, dated the Effective Date and signed by a Responsible Officer of the Company, certifying on behalf of the Company that after giving effect to this Agreement and the transactions contemplated hereby to occur on the Effective Date, (i) that the representations and warranties contained in Article III are true and correct in all material respects (or, in the case of any representation or warranty qualified by materiality or Material Adverse Effect, in all respects) as of such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and (ii) that no Default or Event of Default has occurred and is continuing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Indebtedness under the Existing Credit Agreement shall have been (or concurrently with the Effective Date, will be) repaid in full and all commitments with respect thereto shall have been (or concurrently with the Effective Date, will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have received all fees and other amounts due and payable on or prior to the Effective Date, including, to the extent invoiced at least two (2) Business Days prior to the Effective Date (or such shorter period of time as is agreed by the Company), reimbursement or payment of all reasonable and documented out-of-pocket expenses required to be reimbursed or paid by the Company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The Administrative Agent shall have received, at least three (3) days prior to the Effective Date, all documentation and other information regarding the Company requested in connection with applicable “know your customer” and anti-money laundering rules and regulations, including the Patriot Act, to the extent requested in writing of the Company at least ten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days prior to the Effective Date and (ii) to the extent the Company qualifies as a “legal entity customer” under the Beneficial Ownership Regulation, at least three (3) days prior to the Effective Date, any Lender that has requested, in a written notice to the Company at least ten (10) days prior to the Effective Date, a Beneficial Ownership Certification in relation to the Company shall have received such Beneficial Ownership Certification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execution and delivery by such Lender of its signature page to this Agreement, the condition set forth in this clause (g) shall be deemed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notify the Company and the Lenders of the Effective Date, and such notice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r>
      <w:r>
        <w:rPr>
          <w:rFonts w:ascii="Times New Roman;Times;Serif" w:hAnsi="Times New Roman;Times;Serif"/>
          <w:b w:val="false"/>
          <w:i w:val="false"/>
          <w:caps w:val="false"/>
          <w:smallCaps w:val="false"/>
          <w:sz w:val="20"/>
          <w:u w:val="single"/>
        </w:rPr>
        <w:t>Each Credit Event</w:t>
      </w:r>
      <w:r>
        <w:rPr>
          <w:rFonts w:ascii="Times New Roman;Times;Serif" w:hAnsi="Times New Roman;Times;Serif"/>
          <w:b w:val="false"/>
          <w:i w:val="false"/>
          <w:caps w:val="false"/>
          <w:smallCaps w:val="false"/>
          <w:sz w:val="20"/>
        </w:rPr>
        <w:t>. The obligation of each Lender to make a Loan on the occasion of any Borrowing (other than a conversion or continuation of any Loans), and of any Issuing Bank to issue, amend, renew or extend any Letter of Credit, is subject to the satisfaction (or waiver of in accordance with Section 9.02)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Borrower set forth in this Agreement (excluding the representations and warranties set forth in Sections 3.04(b) and 3.06(a)) shall be true and correct in all material respects (or, in the case of any representation or warranty qualified by materiality or Material Adverse Effect, in all respects) on and as of the date of such Borrowing or the date of issuance, amendment, renewal or extension of such Letter of Credit, as applicable, except to the extent that such representations and warranties specifically refer to an earlier date, in which case they shall be true and correct in all material respects (or, in the case of any representation or warranty qualified by materiality or Material Adverse Effect, in all respects)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immediately after giving effect to such Borrowing or the issuance, amendment, renewal or extension of such Letter of Credit, as applicable,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if applicable, the applicable Issuing Bank or the Swingline Lender shall have received a Borrowing Request in accordance with the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Borrowing (other than a conversion or continuation of any Loans) and each issuance, amendment, renewal or extension of a Letter of Credit shall be deemed to constitute a representation and warranty by the Borrower on the date thereof as to the matters specified in paragraphs (a) and (b)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br/>
      </w:r>
      <w:r>
        <w:rPr>
          <w:rFonts w:ascii="Times New Roman;Times;Serif" w:hAnsi="Times New Roman;Times;Serif"/>
          <w:b/>
          <w:i w:val="false"/>
          <w:caps/>
          <w:sz w:val="20"/>
          <w:u w:val="single"/>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Commitments have expired or been terminated and the principal of and interest on each Loan and all fees due and payable hereunder shall have been paid in full (other than Obligations expressly stated to survive such payment and termination) and all Letters of Credit shall have expired or terminated, in each case, without any pending draw (or shall have been cash collateralized or backstopped pursuant to arrangements reasonably satisfactory to the Administrative Agent), and all LC Disbursements shall have been reimbursed, the Company covenants and agrees with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r>
      <w:r>
        <w:rPr>
          <w:rFonts w:ascii="Times New Roman;Times;Serif" w:hAnsi="Times New Roman;Times;Serif"/>
          <w:b w:val="false"/>
          <w:i w:val="false"/>
          <w:caps w:val="false"/>
          <w:smallCaps w:val="false"/>
          <w:sz w:val="20"/>
          <w:u w:val="single"/>
        </w:rPr>
        <w:t>Financial Statements and Other Information</w:t>
      </w:r>
      <w:r>
        <w:rPr>
          <w:rFonts w:ascii="Times New Roman;Times;Serif" w:hAnsi="Times New Roman;Times;Serif"/>
          <w:b w:val="false"/>
          <w:i w:val="false"/>
          <w:caps w:val="false"/>
          <w:smallCaps w:val="false"/>
          <w:sz w:val="20"/>
        </w:rPr>
        <w:t>. The Company will furnish to the Administrative Agent for distribution to each Lender: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90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prepared in accordance with GAAP consistently applied throughout the period covered thereby (except as otherwise expressly noted therein), with such audited balance sheet and related consolidated financial statements reported on by Ernst &amp; Young LLP or other independent public accountants of recognized national standing (without a “going concern” or like qualification or exception and without any qualification or exception as to the scope of such audit (other than with respect to, or resulting from, (i) an upcoming maturity date of any Indebtedness under this Agreement occurring within one year from the time such opinion is delivered or (ii) any actual failure to satisfy a financial maintenance covenant under this Agreement or any potential inability to satisfy a financial maintenance covenant under this Agreement on a future date or in a future period)) to the effect that such consolidated financial statements present fairly in all material respects the financial position of the Company and its consolidated Subsidiaries as of the end of such fiscal year and their results of operations for such fiscal year on a consolidated basis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50 days after the end of each of the first three fiscal quarters of each fiscal year of the Company, its consolidated balance sheet and related statements of operations and cash flows as of the end of and for such fiscal quarter and the period commencing at the beginning of such fiscal year and ending with such fiscal quarter, setting forth in each case in comparative form the figures for the corresponding period or periods of (or, in the case of the balance sheet, as of the end of) the previous fiscal year, all certified on behalf of the Company by a Financial Officer of the Company as presenting fairly in all material respects the financial position of the Company and its consolidated Subsidiaries as of the end of such fiscal quarter and their results of operations for the fiscal period covered thereby on a consolidated basis in accordance with GAAP consistently applied throughout the period covered thereby (except as otherwise expressly noted therein), subject to normal year-end audit adjustments and the absence of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concurrently with any delivery of financial statements under clause (a) or (b) above, a Compliance Certificate of a Financial Officer of the Company, delivered on behalf of the Company, (i) certifying as to whether, to the knowledge of such Financial Officer, a Default has occurred and is continuing and, if a Default has occurred that is continuing, specifying the details thereof and any action taken or proposed to be taken with respect thereto, (ii) setting forth reasonably detailed calculations demonstrating compliance with Section 6.04, (iii) in connection with the delivery of financial statements under clause (a) above, a list of each Material Subsidiary as of the end of the fiscal year such financial statements relate to, (iv) [reserved] and (v) to the extent that any change in GAAP or application thereof has a material impact on the financial statements accompanying such certificate and such change and impact has not been noted in such financial statements, stating whether any such change in GAAP or in the application thereof has occurred since the date of the audited financial statements referred to in Section 3.04(a)(i) and, if any such change has occurred, specifying the effect of such change on such financial statements accompanying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after the same become publicly available, copies of all annual, regular, periodic and special reports, proxy statements and registration statements (i) filed by the Company with the SEC (or any Governmental Authority succeeding to any or all of the functions of the SEC) or with any national securities exchange, or (ii) distributed by the Company to its shareholders generally, as the case may be;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after Moody’s, S&amp;P or Fitch shall have announced a change in the rating established or deemed to have been established for the Index Debt, written notice of such rating change;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following any request therefor, (i) such other information regarding the operations, business affairs and financial condition of the Company or any Subsidiary, or compliance with the terms of this Agreement, as the Administrative Agent or any Lender (acting through the Administrative Agent) may reasonably request and (ii)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required to be delivered pursuant to clauses (a), (b) and (d) of this Section 5.01 (A) may be delivered electronically and (B) shall be deemed to have been delivered on the date on which such documents are (1) filed for public availability on the SEC’s Electronic Data Gathering and Retrieval System or (2) delivered to the Administrative Agent for posting on, or otherwise posted on the Company’s behalf on, an Internet or intranet website, if any, to which the Administrative Agent has access (whether a commercial, third-party website or whether sponsored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acknowledges that (a) the Administrative Agent and/or BofA Securities, in its capacity as a Joint Bookrunner, may, but shall not be obligated to, make available to the Lenders and the Issuing Banks materials and/or information provided by or on behalf of the Borrower hereunder (collectively, “</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by posting the Borrower Materials on IntraLinks, Syndtrak, ClearPar, or a substantially similar electronic transmission system (the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and (b) certain of the Lenders (each, a “</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may have personnel who do not wish to receive material non-public information with respect to the Borrower or their respective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Joint Bookrunners, the Issuing Banks and the Lenders to treat such Borrower Materials as not containing any material non-public information with respect to the Borrower or their respective securities for purposes of United States Federal and state securities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Borrower Materials constitute Information, they shall be treated as set forth in Section 9.12); (y) all Borrower Materials marked “PUBLIC” are permitted to be made available through a portion of the Platform designated “Public Side Information;” and (z) the Administrative Agent and BofA Securities, in its capacity as a Joint Bookrunner, shall be entitled to treat any Borrower Materials that are not marked “PUBLIC” as being suitable only for posting on a portion of the Platform not designated “Public Side Information.” Notwithstanding the foregoing, the Borrower shall not be under any obligation to mark any Borrower Materials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r>
      <w:r>
        <w:rPr>
          <w:rFonts w:ascii="Times New Roman;Times;Serif" w:hAnsi="Times New Roman;Times;Serif"/>
          <w:b w:val="false"/>
          <w:i w:val="false"/>
          <w:caps w:val="false"/>
          <w:smallCaps w:val="false"/>
          <w:sz w:val="20"/>
          <w:u w:val="single"/>
        </w:rPr>
        <w:t>Notices of Material Events</w:t>
      </w:r>
      <w:r>
        <w:rPr>
          <w:rFonts w:ascii="Times New Roman;Times;Serif" w:hAnsi="Times New Roman;Times;Serif"/>
          <w:b w:val="false"/>
          <w:i w:val="false"/>
          <w:caps w:val="false"/>
          <w:smallCaps w:val="false"/>
          <w:sz w:val="20"/>
        </w:rPr>
        <w:t>. The Company will furnish to the Administrative Agent (for distribution to each Lender) written notice of the following, promptly after a Responsible Officer of the Company having actual knowledge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filing or commencement of any action, suit or proceeding by or before any arbitrator or Governmental Authority against or affecting the Company or any Subsidiary thereof that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occurrence of any ERISA Event that, alone or together with any other ERISA Events that have occurred, could reasonably be expected to result in a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other development that results in, or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delivered under this Section shall be accompanied by a statement of a Responsible Officer of the Company setting forth in reasonable detail the event or development requiring such notice and any action taken or proposed to be taken with respect thereto. Information required to be delivered pursuant to clause (b) and (c) of this Section shall be deemed to have been delivered if such information, or one or more annual, quarterly, current or other reports containing such information, is (i) filed for public availability on the SEC’s Electronic Data Gathering and Retrieval System or (ii) delivered to the Administrative Agent for posting on, or otherwise posted on the Company’s behalf on, an Internet or intranet website, if any, to which the Administrative Agent and the Lenders have access (whether a commercial, third-party website or whether sponsored by the Administrative Agent). Information required to be delivered pursuant to this Section may also be delivered by electronic communications pursuant to procedures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tab/>
      </w:r>
      <w:r>
        <w:rPr>
          <w:rFonts w:ascii="Times New Roman;Times;Serif" w:hAnsi="Times New Roman;Times;Serif"/>
          <w:b w:val="false"/>
          <w:i w:val="false"/>
          <w:caps w:val="false"/>
          <w:smallCaps w:val="false"/>
          <w:sz w:val="20"/>
          <w:u w:val="single"/>
        </w:rPr>
        <w:t>Existence; Conduct of Business</w:t>
      </w:r>
      <w:r>
        <w:rPr>
          <w:rFonts w:ascii="Times New Roman;Times;Serif" w:hAnsi="Times New Roman;Times;Serif"/>
          <w:b w:val="false"/>
          <w:i w:val="false"/>
          <w:caps w:val="false"/>
          <w:smallCaps w:val="false"/>
          <w:sz w:val="20"/>
        </w:rPr>
        <w:t xml:space="preserve">. The Company will, and will cause each of the Subsidiaries to, do or cause to be done (a) all things necessary to preserve, renew and keep in full force and effect its legal existence and (b) take, or cause to be taken, all reasonable actions to maintain the rights, qualifications, licenses, permits, privileges, franchises, governmental authorizations and intellectual property rights material to the conduct of the business of the Company and its Subsidiaries taken as a whole, except, in the case of this clause (b), to the extent failure to do so could not reasonably be expected to result in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Section 5.03 shall not prohibit any Permitted Restructurings, merger, consolidation, disposition, liquidation, dissolution or other transaction permitted under Section 6.03.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tab/>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Company will, and will cause each of its Subsidiaries to, pay all of its Tax liabilities before they become delinquent or in default, except liabilities which (a) are for Taxes that are being contested in good faith by appropriate proceedings and for which the Company or such Subsidiary, as applicable, has set aside on its books adequate reserves in accordance with GAAP or (b) if not paid,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tab/>
      </w:r>
      <w:r>
        <w:rPr>
          <w:rFonts w:ascii="Times New Roman;Times;Serif" w:hAnsi="Times New Roman;Times;Serif"/>
          <w:b w:val="false"/>
          <w:i w:val="false"/>
          <w:caps w:val="false"/>
          <w:smallCaps w:val="false"/>
          <w:sz w:val="20"/>
          <w:u w:val="single"/>
        </w:rPr>
        <w:t>Maintenance of Properties; Insurance</w:t>
      </w:r>
      <w:r>
        <w:rPr>
          <w:rFonts w:ascii="Times New Roman;Times;Serif" w:hAnsi="Times New Roman;Times;Serif"/>
          <w:b w:val="false"/>
          <w:i w:val="false"/>
          <w:caps w:val="false"/>
          <w:smallCaps w:val="false"/>
          <w:sz w:val="20"/>
        </w:rPr>
        <w:t>. The Company will, and will cause each of its Subsidiaries to, (a) keep and maintain all tangible property material to the conduct of its business in good working order and condition, ordinary wear and tear and casualty excepted and except (i) pursuant to transactions permitted by Section 6.03 or (ii) where the failure to do so could not reasonably be expected to result in a Material Adverse Effect, and (b) maintain, in all material respects, with carriers reasonably believed by the Company to be financially sound and reputable or through reasonable and adequate self-insurance insurance in such amounts and against such risks and such other hazards, as is customarily maintained by companies engaged in the same or similar businesses under similar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tab/>
      </w:r>
      <w:r>
        <w:rPr>
          <w:rFonts w:ascii="Times New Roman;Times;Serif" w:hAnsi="Times New Roman;Times;Serif"/>
          <w:b w:val="false"/>
          <w:i w:val="false"/>
          <w:caps w:val="false"/>
          <w:smallCaps w:val="false"/>
          <w:sz w:val="20"/>
          <w:u w:val="single"/>
        </w:rPr>
        <w:t>Books and Records; Inspection Rights</w:t>
      </w:r>
      <w:r>
        <w:rPr>
          <w:rFonts w:ascii="Times New Roman;Times;Serif" w:hAnsi="Times New Roman;Times;Serif"/>
          <w:b w:val="false"/>
          <w:i w:val="false"/>
          <w:caps w:val="false"/>
          <w:smallCaps w:val="false"/>
          <w:sz w:val="20"/>
        </w:rPr>
        <w:t>. The Company will, and will cause each of its Material Subsidiaries to, keep proper books of record and account in which full, true and correct entries in conformity in all material respects with applicable law are made of all material financial dealings and transactions in relation to its business and activities and, subject to Section 5.01(b), in form permitting financial statements conforming with GAAP or IFRS (as applicable) to be derived therefrom. The Company will, and will cause each of its Subsidiaries to, permit any representatives designated by the Administrative Agent to visit and inspect its properties, to examine and make extracts from its books and records and to discuss its affairs, finances and condition with its Financial Officers and, provided that the Company 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Subsidiary is afforded the opportunity to participate in such discussion, its independent accountants, in any such case, at reasonable times during normal business hours and as often as reasonably requested upon reasonable prior written notice to the Company, and subject to reasonable requirements of confidentiality, including requirements imposed by law or by contract;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no Event of Default has occurred and is continuing, such visits and inspections can occur no more frequently than once per year. The Company acknowledges that, subject to Section 9.12, the Administrative Agent, after exercising its rights of inspection, may prepare and distribute to the Lenders certain reports pertaining to the Company and its Subsidiaries’ assets for internal use by the Administrative Agent and the Lenders in connection with the transactions contemplated hereby. Notwithstanding anything to the contrary in this Section 5.06 or any other provision of any Loan Document, neither the Company nor any of its Subsidiaries will be required to disclose, permit the inspection, examination or making of extracts, or discussion of, any documents, information or other matter that (i) constitutes non-financial trade secrets or non-financial proprietary information, (ii) in respect of which disclosure to the Administrative Agent or any Lender (or any designated representative) is then prohibited by law, rule or regulation or any agreement binding on the Company or any of its Subsidiaries or (iii) is subject to attorney-client or similar privilege or constitutes attorney work-product.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tab/>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will, and will cause each of its Subsidiaries to, comply with all laws, rules, regulations and orders of any Governmental Authority applicable to it or its property (including Environmental Laws), except (a) for Disclosed Matters or (b) where the failure to do so could not reasonably be expected to result in a Material Adverse Effect. The Company will maintain in effect and enforce policies and is implementing and will maintain in effect procedures reasonably designed to achieve compliance by the Company, its Subsidiaries and their respective directors, officers, employees and agents with Anti-Corruption Laws and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tab/>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proceeds of the Loans will be used only to finance the working capital needs, and for general corporate or other lawful purposes, of the Company and its Subsidiaries. No part of the proceeds of any Loan will be used, whether directly or indirectly, for any purpose that entails a violation of any of the Regulations of the Board, including Regulations T, U and X. The Borrower will not request any Borrowing or Letter of Credit, and the Borrower shall not use, and the Company shall procure that its Subsidiaries and its or their respective directors, officers, employees and agents shall not use, the proceeds of any Borrowing or Letter of Credit (a) for payments to any Person in material violation of Anti-Corruption Laws, (b) for the purpose of funding or financing any activities, business or transaction of or with any Sanctioned Person, or in any country or territory that, at the time of such funding, is a Sanctioned Country, to the extent such activity, business or transaction would be prohibited by Sanctions by a Person organized or formed under the laws of the United States or (c) in any manner that would result in the violation of any Sanctions applicable to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br/>
      </w:r>
      <w:r>
        <w:rPr>
          <w:rFonts w:ascii="Times New Roman;Times;Serif" w:hAnsi="Times New Roman;Times;Serif"/>
          <w:b/>
          <w:i w:val="false"/>
          <w:caps/>
          <w:sz w:val="20"/>
          <w:u w:val="single"/>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Commitments have expired or been terminated and the principal of and interest on each Loan and all fees due and payable hereunder have been paid in full (other than Obligations expressly stated to survive such payment and termination) and all Letters of Credit have expired or terminated, in each case, without any pending draw (or shall have been cash collateralized or backstopped pursuant to arrangements reasonably satisfactory to the Administrative Agent), and all LC Disbursements shall have been reimbursed, the Company covenants and agrees with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r>
      <w:r>
        <w:rPr>
          <w:rFonts w:ascii="Times New Roman;Times;Serif" w:hAnsi="Times New Roman;Times;Serif"/>
          <w:b w:val="false"/>
          <w:i w:val="false"/>
          <w:caps w:val="false"/>
          <w:smallCaps w:val="false"/>
          <w:sz w:val="20"/>
          <w:u w:val="single"/>
        </w:rPr>
        <w:t>Subsidiary Indebtedness</w:t>
      </w:r>
      <w:r>
        <w:rPr>
          <w:rFonts w:ascii="Times New Roman;Times;Serif" w:hAnsi="Times New Roman;Times;Serif"/>
          <w:b w:val="false"/>
          <w:i w:val="false"/>
          <w:caps w:val="false"/>
          <w:smallCaps w:val="false"/>
          <w:sz w:val="20"/>
        </w:rPr>
        <w:t>. The Company will not permit any Subsidiary to create, incur, assume or permit to exist any Indebtedness, except: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existing on the Effective Date and set forth in </w:t>
      </w:r>
      <w:r>
        <w:rPr>
          <w:rFonts w:ascii="Times New Roman;Times;Serif" w:hAnsi="Times New Roman;Times;Serif"/>
          <w:b w:val="false"/>
          <w:i w:val="false"/>
          <w:caps w:val="false"/>
          <w:smallCaps w:val="false"/>
          <w:sz w:val="20"/>
          <w:u w:val="single"/>
        </w:rPr>
        <w:t>Schedule 6.01</w:t>
      </w:r>
      <w:r>
        <w:rPr>
          <w:rFonts w:ascii="Times New Roman;Times;Serif" w:hAnsi="Times New Roman;Times;Serif"/>
          <w:b w:val="false"/>
          <w:i w:val="false"/>
          <w:caps w:val="false"/>
          <w:smallCaps w:val="false"/>
          <w:sz w:val="20"/>
        </w:rPr>
        <w:t xml:space="preserve"> and amendments, modifications, extensions, refinancings, renewals and replacements of any such Indebtedness that does not increase the outstanding principal amount thereof (other than with respect to unpaid accrued interest and premium thereon, any committed or undrawn amounts and underwriting discounts, fees, commissions, premiums and expenses associated with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Indebtedness of any Subsidiary to the Company or any other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Guarantees by any Subsidiary of Indebtedness of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Indebtedness so Guaranteed is not prohibited by this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Indebtedness of any Subsidiary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principal amount of such Indebtedness is not increased at the time of such modification, extension, refinancing, renewal or replacement thereof except by an amount equal to any premium or other amount paid, and fees and expenses incurred, in connection with such modification, extension, refinancing, renewal or replacement;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 such Indebtedness is initially incurred prior to or within 270 days after such acquisition or the completion of such construction, repair, replacement, lease or improvement and (ii) the aggregate outstanding principal amount of such Indebtedness does not exceed the cost of acquiring, constructing, repairing, replacing, leasing or improving such fixed or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of any Subsidiary as an account party in respect of letters of credit, bank guarantees, letters of guaranty or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unfunded pension fund and other employee benefit plan obligations and liabilities to the extent they are permitted to remain unfunded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Indebtedness representing deferred compensation to employees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Guarantees, surety bonds or performance bonds securing the performance of any Subsidiary, in each case incurred or assumed in connection with an Acquisition or disposition or other acquisition of assets not prohibited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Indebtedness of any Subsidiary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Indebtedness in respect to judgments or awards under circumstances not giving rise to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Indebtedness in respect of obligations that are being contested in accordance with Section 5.04;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Indebtedness consisting of (i) deferred payments or financing of insurance premiums incurred in the ordinary course of business of any Subsidiary and (ii) take or pay obligations contained in any supply agreement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Indebtedness representing deferred compensation, severance, pension, and health and welfare retirement benefits or the equivalent to current and former employees of the Company or any Subsidiary incurred in the ordinary course of business or existing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customer advances or deposits or other endorsements for collection, deposit or negotiation and warranties of products or services, in each case received or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Priority Indebtedness of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immediately after giving effect to the incurrence of any such Priority Indebtedness in reliance on this clause (q), the sum of (without duplication) (i) the aggregate principal amount of all such Priority Indebtedness outstanding in reliance on this clause (q), plus (ii) the aggregate principal amount of Priority Indebtedness of the Company secured by Liens in reliance on Section 6.02(s)(ii), plus (iii) the aggregate principal amount of Indebtedness and other obligations of the Company secured by Liens in reliance on Section 6.02(s)(iii), shall not exceed fifteen percent (15%) of the Company’s Consolidated Net Worth (determined as of the last day of the most recent fiscal quarter for which financial statements shall have been delivered pursuant to Section 5.01(a) or Section 5.01(b) (or, prior to the delivery of financial statements pursuant to Section 5.01(b) for the fiscal quarter ending September 27, 2026, ending with the fiscal quarter ended June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other Indebtedness in an aggregate outstanding principal amount not to exceed $75,000,000;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Indebtedness assumed by any Subsidiary in connection with any Acquisition or other acquisition of any property or assets or Indebtedness of any Person that becomes a Subsidiary after the Effective Date in a transaction not prohibited hereby, and amendments, modifications, extensions, refinancings, renewals and replacements of any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principal amount of such Indebtedness is not increased at the time of such modification, extension, refinancing, renewal or replacement thereof except by an amount equal to any premium or other amount paid, and fees and expenses incurred, in connection with such modification, extension, refinancing, renewal or replacement;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such Indebtedness is not incurred in contemplation of such acquisition;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Indebtedness to any Receivables Financiers arising under or incidental to any Permitted Receivables Facility, and to the extent that any purported sale, transfer or contribution of Permitted Securitization Transferred Assets from the Company or any Subsidiary to a Special Purpose Finance Subsidiary shall ever be deemed not to constitute a true sale, any Indebtedness of the applicable Special Purpose Finance Subsidiary to the Company and its Subsidiaries arising therefrom;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Indebtedness outstanding in reliance on this clause (t) shall not exceed $375,000,000 at any time.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The Company will not, and will not permit any Subsidiary to, create, incur, assume or permit to exist any Lien on any property or asset now owned or hereafter acquired by it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(if any) created pursuant to any Loan Document including with respect to any obligation to provide cash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Lien on any property or asset of the Company or any Subsidiary existing on the Effective Date and set forth in </w:t>
      </w:r>
      <w:r>
        <w:rPr>
          <w:rFonts w:ascii="Times New Roman;Times;Serif" w:hAnsi="Times New Roman;Times;Serif"/>
          <w:b w:val="false"/>
          <w:i w:val="false"/>
          <w:caps w:val="false"/>
          <w:smallCaps w:val="false"/>
          <w:sz w:val="20"/>
          <w:u w:val="single"/>
        </w:rPr>
        <w:t>Schedule 6.02</w:t>
      </w:r>
      <w:r>
        <w:rPr>
          <w:rFonts w:ascii="Times New Roman;Times;Serif" w:hAnsi="Times New Roman;Times;Serif"/>
          <w:b w:val="false"/>
          <w:i w:val="false"/>
          <w:caps w:val="false"/>
          <w:smallCaps w:val="false"/>
          <w:sz w:val="20"/>
        </w:rPr>
        <w:t xml:space="preserve"> and any amendments, modifications, extensions, renewals, refinancings and replacements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shall not apply to any other property or asset of the Company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(ii) the amount secured or benefited thereby is not increased (other than as not otherwise prohibited by this Agreement) and amendments, modifications, extensions, refinancings, renewals and replacements thereof that do not increase the outstanding principal amount thereof (other than with respect to unpaid accrued interest and premium thereon, any committed or undrawn amounts and underwriting discounts, fees, commissions, premiums and expenses and other than as not otherwise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Lien existing on any property or asset prior to the acquisition thereof by the Company or any Subsidiary or existing on any property or asset of any Person that becomes a Subsidiary after the Effective Date prior to the time such Person becomes a Subsidiary or existing on any asset of any Person existing at the time such Person is merged into or consolidated with the Company or a Subsidiary and any amendments, modifications, extensions, renewals and replacements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is not created in contemplation of or in connection with such acquisition or such Person becoming a Subsidiary, as the case may be, (ii) such Lien shall not apply to any other property or assets of the Company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(iii) such Lien shall secure only those obligations which it secures on the date of such acquisition or the date such Person becomes a Subsidiary or the date of such merger or consolidation, as the case may be, and amendments, modifications, extensions, refinancings, renewals and replacements thereof that do not increase the outstanding principal amount thereof (other than with respect to unpaid accrued interest and premium thereon, any committed or undrawn amounts and underwriting discounts, fees, commissions, premiums and expenses and other than as not otherwise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Liens on assets (including capital leases) acquired (including as a replacement), constructed, repaired, leased or improved by the 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Liens secure Indebtedness or Capital Lease Obligations of the Company or any Subsidiary permitted by clause (e) of Section 6.01 (or, in the case of the Company, that would have been permitted by clause (e) of Section 6.01 had such Indebtedness or Capital Lease Obligations instead been incurred by a Subsidiary), (ii) such Liens and the Indebtedness secured thereby are initially incurred prior to or within 270 days after such acquisition or lease or the completion of such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replacement, repair or improvement and (iii) such Liens shall not apply to any other property or assets of the Company or any Subsidiary other than improvements thereon, replacements and products thereof, additions and accessions thereto or proceeds thereof and customary security deposits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individual financings of equipment provided by one lender (or a syndicate of lenders) may be cross-collateralized to other financings of equipment provided by such lender (or syndicate));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granted by a Subsidiary in favor of the Company or another Subsidiary in respect of Indebtedness or other obligations owed by such Subsidiary to the Company or such other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arising out of any conditional sale, title retention, consignment or other similar arrangements for the sale of goods entered into by the Company or any of its Subsidiaries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securing the financing of insurance premiums solely to the extent of such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in favor of customs and revenue authorities arising as a matter of law to secure payment of customs duties in connection with the importation of goods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on any cash earnest money deposits made by the Company or any of its Subsidiaries in connection with an Acquisition or other investment not prohibited hereunder, including in connection with any letter of intent or purchase agreement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in connection with the sale or transfer of any assets in a transaction permitted under Section 6.03 (other than by reference to this Section 6.02 (or any sub-clause hereof)), customary rights and restrictions contained in agreements relating to such sale or transfer pending the completion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in the nature of the right of setoff in favor of counterparties to contractual agreements with the Company or any Subsidiary (i) in the ordinary course of business or (ii) not otherwise prohibited hereunder other than in connection with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dispositions and other sales of assets permitted under Section 6.03 (other than by reference to this Section 6.02 (or any sub-clause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to the extent constituting a Lien, Liens with respect to repurchase obligations in the ordinary course of business in connection with the cash management activities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that are contractual rights of set-off (i) relating to the establishment of depositary relations with banks or other financial institutions not given in connection with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Indebtedness, or (ii) relating to pooled deposit or sweep accounts of the Borrower or any Subsidiary to permit satisfaction of overdraft or similar obligations incurred in the ordinary course of business of the any the Borrower or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on Permitted Securitization Transferred Assets arising in connection with a Permitted Receivables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Liens of sellers of goods to the Borrower and any of their respective Subsidiaries arising under Article 2 of the UCC or similar provisions of applicable law in the ordinary course of business, covering only the goods sold and securing only the unpaid purchase price for such goods and related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Liens securing (i) Indebtedness of any Subsidiary described in clause (a) of the definition of “Priority Indebtedness” outstanding in reliance on Section 6.01(q), (ii) Priority Indebtedness of the Company and (iii) other obligations and Indebtedness of the 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immediately after giving effect to the incurrence of any Indebtedness or obligations secured by Liens in reliance on this clause (s), the sum of (without duplication) (x) the aggregate principal amount of all Priority Indebtedness of any Subsidiary outstanding in reliance on Section 6.01(q), plus (y) the aggregate principal amount of Priority Indebtedness of the Company secured by Liens in reliance on subclause (ii) above, plus (z) the aggregate principal amount of Indebtedness and other obligations of the Company secured by Liens in reliance on subclause (iii) above, shall not exceed fifteen percent (15%) of the Company’s Consolidated Net Worth (determined as of the last day of the most recent fiscal quarter for which financial statements shall have been delivered pursuant to Section 5.01(a) or Section 5.01(b) (or, prior to the delivery of financial statements pursuant to Section 5.01(b) for the fiscal quarter ending September 27, 2026, ending with the fiscal quarter ended June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pledges or deposits to secure Indebtedness of the Company or any Subsidiary as an account party in respect of letters of credit, bank guarantees, letters of guaranty or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pledges or transfers of collateral to support bilateral mark-to-market security arrangements in respect of uncleared swap or derivative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Liens on assets of the Company and its Subsidiaries not otherwise permitted under this Section 6.02 so long as the aggregate principal amount of the Indebtedness and other obligations subject to such Liens does not at any time exceed $75,000,000;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 the case of any joint venture, any put and call arrangements related to its Equity Interests set forth in its organizational documents or any related joint venture or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r>
      <w:r>
        <w:rPr>
          <w:rFonts w:ascii="Times New Roman;Times;Serif" w:hAnsi="Times New Roman;Times;Serif"/>
          <w:b w:val="false"/>
          <w:i w:val="false"/>
          <w:caps w:val="false"/>
          <w:smallCaps w:val="false"/>
          <w:sz w:val="20"/>
          <w:u w:val="single"/>
        </w:rPr>
        <w:t>Fundamental Changes and Asset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not, and will not permit any Subsidiary to, 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and its Subsidiaries (taken as a whole) (whether now owned or hereafter acquired), or liquidate or dissolve,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Person (other than the Company or any of its Subsidiaries) may merge or consolidate with the Company or any of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merger or consolidation involving the Company must result in the Company as the surviving entity;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such merger or consolidation may result in such other Person being the surviving entity so long as (A) such Person that is the surviving entity shall (1) affirmatively agree, in a writing satisfactory to the Administrative Agent, to be bound by the terms of this Agreement and the other Loan Documents and shall assume the obligations hereunder and under the other Loan Documents of the Borrower (and shall thereafter be deemed to be the Borrower for purposes of this Agreement and the other Loan Documents), (2) be organized and exist under the laws of the United States, any State thereof or the District of Columbia and (3) provide to the Administrative Agent and each Lender (x) all documentation and other information regarding such Person required by regulatory authorities under applicable “know your customer” and anti-money laundering rules and regulations, including the Patriot Act and (y) to the extent such surviving Person qualifies as a “legal entity customer” under the Beneficial Ownership Regulation, a Beneficial Ownership Certification in relation to such Person and (B) immediately after giving effect to such merger or consolidation, (1) the Borrower shall be in compliance (on a pro forma basis, giving effect to the proviso in Section 6.04(a) if such merger or consolidation constitutes a Qualified Acquisition for which the Total Net Leverage Ratio is being increased pursuant to such proviso) with the covenant contained in Section 6.04, (2) no Default shall have occurred and be continuing, and (3) the Debt Ratings from at least two of Moody’s, S&amp;P and Fitch shall be an Investment Grade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Subsidiary may merge into or consolidate with the Company in a transaction in which the surviving entity is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Subsidiary may merge into or consolidate with, or sell, transfer, lease or otherwise dispose of any or all of its assets to, another Subsidiary (in connection with a liquidation, winding up or dissolution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Subsidiary may sell, transfer, lease or otherwise dispose of any or all of its assets to any Subsidiary or the Company (in connection with a liquidation, winding up or dissolution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Subsidiary may liquidate, wind up or dissolve (A) if the Company determines in good faith that such liquidation, winding up or dissolution is in the best interests of the Company or (B) to the extent undertaken in good faith for the purpose of improving the overall tax efficiency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and its Subsidiaries may consummate Permitted Restructurings;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and its Subsidiaries may enter into, terminate or modify leases, subleases, licenses and sublicenses of technology and other property (A) in the ordinary course of business or (B) between or among the Company and any of its Subsidiaries (or any combination thereof);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Company and its Subsidiaries may incur Liens permitted under Section 6.02 (other than by reference to this Section 6.03 (or any sub-clause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Company and its Subsidiaries may sell, transfer or otherwise dispose of Permitted Securitization Transferred Assets in connection with any Permitted Receivables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not, and will not permit any of its Subsidiaries to, engage to any material extent in any business substantially different from businesses of the type conducted by the Company and its Subsidiaries (taken as a whole) on the Effective Date and businesses reasonably related, ancillary, similar, complementary or synergistic thereto or reasonable extensions, development or expansion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not permit the ratio (the “</w:t>
      </w:r>
      <w:r>
        <w:rPr>
          <w:rFonts w:ascii="Times New Roman;Times;Serif" w:hAnsi="Times New Roman;Times;Serif"/>
          <w:b w:val="false"/>
          <w:i w:val="false"/>
          <w:caps w:val="false"/>
          <w:smallCaps w:val="false"/>
          <w:sz w:val="20"/>
          <w:u w:val="single"/>
        </w:rPr>
        <w:t>Total Net Leverage Ratio</w:t>
      </w:r>
      <w:r>
        <w:rPr>
          <w:rFonts w:ascii="Times New Roman;Times;Serif" w:hAnsi="Times New Roman;Times;Serif"/>
          <w:b w:val="false"/>
          <w:i w:val="false"/>
          <w:caps w:val="false"/>
          <w:smallCaps w:val="false"/>
          <w:sz w:val="20"/>
        </w:rPr>
        <w:t xml:space="preserve">”), determined as of the end of each of its fiscal quarters ending on and after the Effective Date, of (i) the difference between (A) Consolidated Total Indebtedness, minus (B) all unrestricted and unencumbered cash and cash equivalents of the Company and its Subsidiaries (as reflected on the most recent consolidated balance sheet of the Company), not to exceed $1,000,000,000 to (ii) Consolidated EBITDA for the period of four (4) consecutive fiscal quarters ending with the end of such fiscal quarter, all calculated for the Company and its Subsidiaries on a consolidated basis, to be greater than 3.50 to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notice by the Company to the Administrative Agent upon the consummation of any Qualified Acquisition (but in any case not more than three times), the Company shall be permitted to increase the maximum Total Net Leverage Ratio to 4.00 to 1.00, which such increase shall be applicable for the fiscal quarter of the Company in which such acquisition is consummated and the three consecutive fiscal quarters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any time after the definitive agreement for any Qualified Acquisition shall have been executed (or, in the case of a Qualified Acquisition in the form of a tender offer or similar transaction, after the offer shall have been launched) and prior to the consummation of such Qualified Acquisition (or termination of the definitive documentation in respect thereof), any Qualified Acquisition Debt (and the proceeds of such Qualified Acquisition Debt) shall be excluded from the definition of the “Total Net Leverage Ratio”;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definitive documentation relating to such Qualified Acquisition Debt shall contain “special mandatory redemption” or escrow provisions (or other similar provisions) or otherwise require such indebtedness to be redeemed or prepaid if such Qualified Acquisition is not consummated by a date specified in such definitive documentation and (y) if the definitive agreement (or, in the case of a tender offer or similar transaction, the definitive offer document) for such Qualified Acquisition is terminated in accordance with its terms prior to the consummation of such Qualified Acquisition or such Qualified Acquisition is otherwise not consummated by the date specified in the definitive documentation relating to such Qualified Acquisition Debt, such Qualified Acquisition Debt is so redeemed or prepaid by the date that it is required to be redeemed or prepaid in such circumstances pursuant to the terms of such Qualified Acquisition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br/>
      </w:r>
      <w:r>
        <w:rPr>
          <w:rFonts w:ascii="Times New Roman;Times;Serif" w:hAnsi="Times New Roman;Times;Serif"/>
          <w:b/>
          <w:i w:val="false"/>
          <w:caps/>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(each,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shall occur and be continuing: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fail to pay any principal of any Loan or any reimbursement obligation in respect of any LC Disbursement owed by the Borrower when and as the same shall become due and payable, whether at the due date thereof or at a date fixed for prepayment thereof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fail to pay any interest on any Loan or any fee or any other amount (other than an amount referred to in clause (a) of this Article) payable by the Borrower under this Agreement or any other Loan Document, when and as the same shall become due and payable, and such failure shall continue unremedied for a period of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representation or warranty made or deemed made by or on behalf of the Borrower in any Loan Document or in any Borrowing Request or certificate furnished, pursuant to this Agreement or any other Loan Document (including any amendment or modification thereof or waiver thereunder) shall prove to have been incorrect in any material respect when made or deemed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have thirty days after the Company has knowledge of such fact to remedy the underlying facts resulting in such Borrowing Request, certificate or document being erroneous as above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fail to observe or perform any covenant or agreement applicable to it (or its Subsidiaries, to the extent applicable) contained in Section 5.02(a), 5.03 (solely with respect to the Borrower’s existence), 5.08 or in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fail to observe or perform any covenant or agreement applicable to it contained in this Agreement (other than those specified in clause (a), (b) or (d) of this Article) or any other Loan Document, and such failure shall continue unremedied for a period of thirty (30) days after notice thereof from the Administrative Agent or the Required Lenders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or any Subsidiary shall fail to make any payment (whether of principal or interest and regardless of amount) in respect of any Material Indebtedness of the Borrower or Subsidiary, as applicable, when and as the same shall become due and payable, which is not cured within any applicable grace period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Borrower or any Subsidiary shall fail to observe or perform any other term, covenant, condition or agreement contained in any agreement or instrument evidencing or governing any Material Indebtedness if the effect of such failure is to cause or that enables 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stated maturity;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(g)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or replacement thereof not otherwise prohibited by this Agreement,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when due (or within any applicable grace period) and (v) any “change of control” put in respect of any Material Indebtedness of a Person or business acquired by the Borrower or any of its Subsidiaries as a result of such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maturity date of such Material Indebtedness has not been accelerated to, and has not become payable in full as of, the date of consummation of such acquisition (and after giving effect thereto), unless such Material Indebtedness is paid in full as of such date), so long as such Material Indebtedness that is put or accelerated in accordance with the terms of such Material Indebtedness is paid as required by the terms of such Material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involuntary proceeding shall be commenced or an involuntary petition shall be filed seeking (i) liquidation, examinership, reorganization or other relief in respect of the Borrower or any Material Subsidiary or its debts, or of a substantial part of its assets, under any federal, state or foreign bankruptcy, insolvency, examinership, receivership or similar law now or hereafter in effect or (ii) the appointment of a receiver, trustee, custodian, examiner, sequestrator, conservator or similar official for the Borrower or any Material Subsidiary or for a substantial part of its assets, and, in any such case, such proceeding or petition shall continue undismissed, undischarged or unstayed for ninety (90) days or an order or decree approving or ordering any of the foregoing shall be entered;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or any Material Subsidiary shall (i) voluntarily commence any proceeding or file any petition seeking liquidation, reorganization or other relief under any federal, state or foreign bankruptcy, insolvency, examinership,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examiner, sequestrator, conservator or similar official for the Borrower or any Material Subsidiary or for a substantial part of its assets, (iv) file an answer admitting the material allegations of a petition filed against it in any such proceeding or (v) make a general assignment for the benefit of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Borrower or any Material Subsidiary shall become unable, admit in writing its inability or fail generally to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one or more judgments for the payment of money in an aggregate amount in excess of $250,000,000 (to the extent not paid, fully bonded or covered by an unaffiliated insurer that has not denied coverage) shall be rendered against the Company, any Subsidiary or any combination thereof and the same shall remain unpaid, undischarged, unvacated or undismissed for a period of ninety (90) consecutive days during which execution shall not be effectively stayed (by reason of pending appeal or otherwise), or any action shall be legally taken by a judgment creditor to attach or levy upon any assets of the Borrower or any Subsidiary to enforce any such judgment and such action shall not have been effectively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 ERISA Event shall have occurred that, when taken together with all other ERISA Events that have occurred,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 Change in Control shall occur;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 this Agreement, after execution thereof and for any reason other than as expressly permitted hereunder or under any Loan Document or in satisfaction in full of the Obligations, ceases to be valid, binding and enforceable against the Company in accordance with its terms in all material respects or (ii) the Company shall challenge the enforceability of any Loan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 or shall assert in writing that any material provision of any of the Loan Documents has ceased to be or otherwise is not valid, binding and enforceable in accordance with its terms in any material respect, other than as expressly permitted hereunder or thereunder or in satisfaction in full in cash of the Obligations then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every such event (other than an event with respect to the Borrower described in clause (h) or (i) of this Article), and at any time thereafter during the continuance of such event, the Administrative Agent may with the consent of the Required Lenders, and shall at the request of the Required Lenders, by notice to the Company,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(iii) require cash collateral for the LC Exposure in accordance with Section 2.06(j); and in case of any event with respect to the Company described in clause (h) or (i) of this Article, the Commitments shall automatically terminate and the principal of the Loans then outstanding and cash collateral for the LC Exposure,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br/>
      </w:r>
      <w:r>
        <w:rPr>
          <w:rFonts w:ascii="Times New Roman;Times;Serif" w:hAnsi="Times New Roman;Times;Serif"/>
          <w:b/>
          <w:i w:val="false"/>
          <w:caps/>
          <w:sz w:val="20"/>
          <w:u w:val="single"/>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tab/>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Lenders and the Issuing Banks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VIII are solely for the benefit of the Administrative Agent, the Lenders and the Issuing Banks, and the Borrower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banking, trust, financial, advisory,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or other of business with the Borrower or any Subsidiary or other Affiliate thereof as if such Person were not the Administrative Agent hereunder and without any duty to account therefor to the Lenders or to provide notice or consent of the Lenders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Administrative Agent or any Joint Bookrunner, as applicable, shall have any duties or obligations except those expressly set forth herein and in the other Loan Documents, and its duties hereunder shall be administrative in nature. Without limiting the generality of the foregoing, none of the Administrative Agent, any Joint Bookrunner, or any of their respective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be subject to any fiduciary or other implied duties, regardless of whether a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shall have any duty or responsibility to disclose, and shall not be liable for the failure to disclose, to any Lender or any Issuing Bank, any credit or other information concerning the business, prospects, operations, property, financial and other condition or creditworthiness of the Borrower or any of its Affiliates, that is communicated to, obtained or in the possession of, the Administrative Agent, any Joint Bookrunner, or any of their respective Related Parties in any capacity, except for notices, reports and other documents expressly required to be furnished to the Lenders by the Administrative Agent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Article VII and Section 9.02) or (ii) in the absence of its own gross negligence or willful misconduct as determined by a court of competent jurisdiction by final and nonappealable judgment, and the Administrative Agent shall be deemed not to have knowledge of any Default unless and until notice describing such Default is given in writing to the Administrative Agent by the Company, a Lender or an Issuing Bank;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shall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this Agreement, any other Loan Document or any other agreement, instrument or document or (v) the satisfaction of any condition set forth in Article IV or elsewhere herein, other than to confirm receipt of items expressly required to be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VIII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Administrative Agent may at any time give notice of its resignation to the Lenders, the Issuing Banks and the Company. Upon receipt of any such notice of resignation, the Required Lenders shall have the right, with the consent of the Company (such consent not to be unreasonably withheld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Company shall be required if an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and the Company) (the “</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xml:space="preserve">”), then the retiring Administrative Agent may (but shall not be obligated to) on behalf of the Lenders and the Issuing Banks, appoint a successor Administrative Agent meeting the qualifications set forth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Person serving as Administrative Agent is a Defaulting Lender pursuant to clause (d) of the definition thereof, the Required Lenders may, to the extent permitted by applicable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law, by notice in writing to the Company and such Person remove such Person as Administrative Agent and, with the consent of the Company (such consent not to be unreasonably withheld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Company shall be required if an Event of Default has occurred and is continuing), appoint a successor. If no such successor shall have been so appointed by the Required Lenders and shall have accepted such appointment within 30 days (or such earlier day as shall be agreed by the Required Lenders and the Company) (the “</w:t>
      </w:r>
      <w:r>
        <w:rPr>
          <w:rFonts w:ascii="Times New Roman;Times;Serif" w:hAnsi="Times New Roman;Times;Serif"/>
          <w:b w:val="false"/>
          <w:i w:val="false"/>
          <w:caps w:val="false"/>
          <w:smallCaps w:val="false"/>
          <w:sz w:val="20"/>
          <w:u w:val="single"/>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With effect from the Resignation Effective Date or the Removal Effective Date (as applicable) (i) the retiring or removed Administrative Agent shall be discharged from its duties and obligations hereunder and under the other Loan Documents and (ii) except for any indemnity payments or other amounts then owed to the retiring or removed Administrative Agent, all payments, communications and determinations provided to be made by, to or through the Administrative Agent shall instead be made by or to each Lender and each Issuing Bank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2.17(e)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clauses (f) and (g)).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VIII and Section 9.03 shall continue in effect for the benefit of such retiring or removed Administrative Agent, its sub 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in respect of any actions taken in connection with transferring the agency to any successor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resignation by Bank of America as Administrative Agent pursuant to this Section 8.01 shall also constitute its resignation as an Issuing Bank and the Swingline Lender. If Bank of America resigns as an Issuing Bank, it shall retain all the rights, powers, privileges and duties of an Issuing Bank hereunder with respect to all Letters of Credit outstanding as of the effective date of its resignation as an Issuing Bank and all LC Exposure with respect thereto, including the right to require the Lenders to make ABR Loans or fund risk participations in Unreimbursed Amounts pursuant to Section 2.06(d).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ABR Loans or fund risk participations in outstanding Swingline Loans pursuant to Section 2.05(c). Upon the appointment by the Company of a successor Issuing Bank or Swingline Lender hereunder (which successor shall in all cases be a Lender other than a Defaulting Lender), (i) such successor shall succeed to and become vested with all of the rights, powers, privileges and duties of the retiring Issuing Bank or Swingline Lender, as applicable, (ii) the retiring Issuing Bank and Swingline Lender shall be discharged from all of their respective duties and obligations hereunder or under the other Loan Documents, and (iii) the successor Issuing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Lender and each Issuing Bank expressly acknowledges that none of the Administrative Agent or any Joint Bookrunner has made any representation or warranty to it, and that no act by the Administrative Agent or any Joint Bookrunner hereafter taken, including any consent to, and acceptance of any assignment or review of the affairs of the Borrower or of any Affiliate thereof, shall be deemed to constitute any representation or warranty by the Administrative Agent or any Joint Bookrunner to any Lender or any Issuing Bank as to any matter, including whether the Administrative Agent or any Joint Bookrunner has disclosed material information in their (or their Related Parties’) possession. Each Lender and each Issuing Bank represents to the Administrative Agent and each Joint Bookrunner that it has, independently and without reliance upon the Administrative Agent, any Joint Bookrunner,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 and their Subsidiaries, and all applicable bank or other regulatory laws relating to the transactions contemplated hereby, and made its own decision to enter into this Agreement and to extend credit to the Borrower hereunder. Each Lender and each Issuing Bank also acknowledges that it will, independently and without reliance upon the Administrative Agent, any Joint Bookrunner,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Lenders or their Affiliates, if any, identified in this Agreement as a Joint Bookrunner, Syndication Agent or Co-Documentation Agent shall have any right, power, obligation, liability, responsibility or duty under this Agreement other than, in the case of Lenders, those applicable to all Lenders as such (or applicable to Lenders of the same Class of Loans). Without limiting the foregoing, none of the Joint Bookrunners or such Lenders shall have or be deemed to have a fiduciary relationship with any Lender. Each Lender hereby makes the same acknowledgments with respect to the relevant Lenders and their Affiliates in their respective capacities as Joint Bookrunners, Syndication Agent or Co-Documentation Agents, as applicable, as it makes with respect to the Administrative Agent in the preceding paragraph.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 case of the pendency of any proceeding under any Debtor Relief Law or any other judicial proceeding relative to the Borrower, the Administrative Agent (irrespective of whether the principal of any Loan or LC Exposure shall then be due and payable as herein expressed or by declaration or otherwise and irrespective of whether the Administrative Agent shall have made any demand on the Borrower) shall be entitled and empowered, by intervention in such proceeding or otherwise: (i) to file and prove a claim for the whole amount of the principal and interest owing and unpaid in respect of the Loans, LC Exposure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Sections 2.12 and 9.03) allowed in such judicial proceeding; and (ii)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Sections 2.12 and 9.03. 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to authorize the Administrative Agent to vote in respect of the claim of any Lender or any Issuing Bank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tab/>
      </w:r>
      <w:r>
        <w:rPr>
          <w:rFonts w:ascii="Times New Roman;Times;Serif" w:hAnsi="Times New Roman;Times;Serif"/>
          <w:b w:val="false"/>
          <w:i w:val="false"/>
          <w:caps w:val="false"/>
          <w:smallCaps w:val="false"/>
          <w:sz w:val="20"/>
          <w:u w:val="single"/>
        </w:rPr>
        <w:t>Posting of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that the Administrative Agent may, but shall not be obligated to, make any Communications available to the Lenders and the Issuing Banks by posting the Communications on the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Platform and its primary web portal are secured with generally-applicable security procedures and policies implemented or modified by the Administrative Agent from time to time (including, as of the Effective Date, a user ID/password authorization system) and the Platform is secured through a per-deal authorization method whereby each user may access the Platform only on a deal-by-deal basis, each of the Lenders, the Issuing Banks and the Borrower acknowledges and agree that the distribution of material through an electronic medium is not necessarily secure, that the Administrative Agent is not responsible for approving or vetting the representatives or contacts of any Lender that are added to the Platform, and that there are confidentiality and other risks associated with such distribution. Each of the Lenders, the Issuing Banks and the Borrower hereby approves distribution of the Communications through the Platform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PLATFORM AND THE COMMUNICATIONS ARE PROVIDED “AS IS” AND “AS AVAILABLE”. THE APPLICABLE PARTIES (AS DEFINED BELOW) DO NOT WARRANT THE ACCURACY OR COMPLETENESS OF THE COMMUNICATIONS, OR THE ADEQUACY OF THE PLATFORM AND EXPRESSLY DISCLAIM LIABILITY FOR ERRORS OR OMISSIONS IN THE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PLATFORM. IN NO EVENT SHALL THE ADMINISTRATIVE AGENT, ANY JOINT BOOKRUNNER, THE SYNDICATION AGENT, ANY CO-DOCUMENTATION AGENT OR ANY OF THEIR RESPECTIVE RELATED PARTIES (COLLECTIVELY,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xml:space="preserve">”) HAVE ANY LIABILITY TO THE BORROWER, ANY LENDER, ANY ISSUING BANK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PLATFORM EXCEPT WITH RESPECT TO ACTUAL OR DIRECT DAMAGES TO THE EXTENT DETERMINED BY A COURT OF COMPETENT JURISDICTION BY FINAL AND NONAPPEALABLE JUDGMENT TO HAVE RESULTED FROM THE WILLFUL MISCONDUCT OR GROSS NEGLIGENCE OF ANY APPLICABLE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COMMUNICATION OR ANY OTHER DISSEMINATION OR DISCLOSURE OF ANY INFORMATION (AS DEFINED IN SECTION 9.12) TO ANY LENDERS, PROSPECTIVE LENDERS, PARTICIPANTS OR PROSPECTIVE PARTICIPANTS OR, TO THE EXTENT SUCH DISCLOSURE IS OTHERWISE PERMITTED BY SECTION 9.12, TO ANY OTHER PERSON THROUGH THE PLATFORM SHALL BE MADE SUBJECT TO THE ACKNOWLEDGEMENT AND ACCEPTANCE BY SUCH PERSON THAT SUCH COMMUNICATION IS BEING DISSEMINATED OR DISCLOSED ON A CONFIDENTIAL BASIS (ON TERMS SUBSTANTIALLY THE SAME AS SET FORTH IN SECTION 9.12 OR OTHERWISE REASONABLY ACCEPTABLE TO THE ADMINISTRATIVE AGENT AND THE COMPANY), WHICH SHALL IN ANY EVENT REQUIRE “CLICK THROUGH” OR OTHER AFFIRMATIVE ACTIONS ON THE PART OF THE RECIPIENT TO ACCESS SUCH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and each Issuing Bank agrees that notice to it (as provided in the next sentence) specifying that Communications have been posted to the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Lenders, the Issuing Banks and the Company agrees that the Administrative Agent may, but (except as may be required by applicable law) shall not be obligated to, store the Communications on the Platform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herein shall prejudice the right of the Administrative Agent, any Lender or any Issuing Bank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tab/>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the Plan Asset Regulations) of one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sub-clause (i) in the immediately preceding clause (a) is true with respect to a Lender or (2) a Lender has not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other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tab/>
      </w:r>
      <w:r>
        <w:rPr>
          <w:rFonts w:ascii="Times New Roman;Times;Serif" w:hAnsi="Times New Roman;Times;Serif"/>
          <w:b w:val="false"/>
          <w:i w:val="false"/>
          <w:caps w:val="false"/>
          <w:smallCaps w:val="false"/>
          <w:sz w:val="20"/>
          <w:u w:val="single"/>
        </w:rPr>
        <w:t>Recovery of Erroneous Payments</w:t>
      </w:r>
      <w:r>
        <w:rPr>
          <w:rFonts w:ascii="Times New Roman;Times;Serif" w:hAnsi="Times New Roman;Times;Serif"/>
          <w:b w:val="false"/>
          <w:i w:val="false"/>
          <w:caps w:val="false"/>
          <w:smallCaps w:val="false"/>
          <w:sz w:val="20"/>
        </w:rPr>
        <w:t>. Without limitation of any other provision in this Agreement, if at any time the Administrative Agent makes a payment hereunder in error to any Credit Party,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Overnight Bank Funding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tab/>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or e-mail,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Borrower,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Illumina, Inc.</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5200 Illumina Way</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 92122</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Treasury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color w:val="0000FF"/>
          <w:sz w:val="20"/>
          <w:u w:val="single"/>
        </w:rPr>
        <w:t>TreasuryCorporate@illumina.com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(in the case of a notice of an actual or potential Default, Event of Default, non-compliance with this Agreement or any other similar matter)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Illumina, Inc.</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5200 Illumina Way</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 92122</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color w:val="0000FF"/>
          <w:sz w:val="20"/>
          <w:u w:val="single"/>
        </w:rPr>
        <w:t>legal@illumina.com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Cravath, Swaine &amp; Moore LLP</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Manhattan West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 Ninth Avenue</w:t>
      </w:r>
    </w:p>
    <w:p>
      <w:pPr>
        <w:pStyle w:val="TextBody"/>
        <w:bidi w:val="0"/>
        <w:spacing w:before="0" w:after="0"/>
        <w:ind w:left="288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10001</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George E. Zobitz</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Telefacsimile No.: (212) 474-3700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color w:val="0000FF"/>
          <w:sz w:val="20"/>
          <w:u w:val="single"/>
        </w:rPr>
        <w:t>gzobitz@cravath.com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Agency Management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Lease and Trade Operations</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 Code: CA5-705-04-09</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California Street, 4th Floor</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tab/>
        <w:t>Jesus Lopez Jr.</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Agency Management Officer</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tab/>
        <w:t>(214) 209-5476</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r>
      <w:r>
        <w:rPr>
          <w:rFonts w:ascii="Times New Roman;Times;Serif" w:hAnsi="Times New Roman;Times;Serif"/>
          <w:b w:val="false"/>
          <w:i w:val="false"/>
          <w:caps w:val="false"/>
          <w:smallCaps w:val="false"/>
          <w:color w:val="0000FF"/>
          <w:sz w:val="20"/>
          <w:u w:val="single"/>
        </w:rPr>
        <w:t>jesus.lopez_jr@bofa.com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Bank of America, N.A., in its capacity as an Issuing Bank,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Operations</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 Code: PA6-580-02-30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Fleet Way</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Scranton, PA 18507</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Trade Client Service Team - US</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(570) 496-9619</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(800) 755-8740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color w:val="0000FF"/>
          <w:sz w:val="20"/>
          <w:u w:val="single"/>
        </w:rPr>
        <w:t>tradeclientserviceteamus@bofa.com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Bank of America, N.A., in its capacity as the Swingline Lender,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 Code: NC1-026-06-04</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Gateway Village – 900 Building</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 W Trade Street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28255-0001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tab/>
        <w:t>Daphne Sheppard</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Servicing Administrator</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tab/>
        <w:t>(980) 338-2129</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r>
      <w:r>
        <w:rPr>
          <w:rFonts w:ascii="Times New Roman;Times;Serif" w:hAnsi="Times New Roman;Times;Serif"/>
          <w:b w:val="false"/>
          <w:i w:val="false"/>
          <w:caps w:val="false"/>
          <w:smallCaps w:val="false"/>
          <w:color w:val="0000FF"/>
          <w:sz w:val="20"/>
          <w:u w:val="single"/>
        </w:rPr>
        <w:t>daphne.sheppard@bofa.com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to any other Lender or Issuing Bank, to it at its address (or telecopy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deemed to have been given at the opening of business on the next business day for the recipient). Notices delivered through Platforms, to the extent provided in paragraph (b) below, shall be effective as provided in said paragraph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Lenders and the Issuing Banks hereunder may be delivered or furnished by using Platforms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party hereto may change its address or telecopy number for notices and other communications hereunder by notice to the other parties hereto (or, in the case of a Lender, by notice to the Company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Lender agrees that notice to it (as provided in the next sentence) (a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specifying that any Communications have been posted to the Platform shall constitute effective delivery of such information, documents or other materials to such Lender for purposes of this Agreement. Each Lender agrees (i) to notify the Administrative Agent in writing of such Lender’s e-mail address to which a Notice may be sent by electronic transmission (including by electronic communication) on or before the date such Lender becomes a party to this Agreement (and from time to time thereafter to ensure that the Administrative Agent has on record an effective e-mail address for such Lender) and (ii) that any Notice may be sent to such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the Issuing Banks and the Lenders shall be entitled to rely and act upon any notices (including telephonic or electronic notices, Borrowing Request, Letter of Credit applications and notice of loan prepayment)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Issuing Bank,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tab/>
      </w:r>
      <w:r>
        <w:rPr>
          <w:rFonts w:ascii="Times New Roman;Times;Serif" w:hAnsi="Times New Roman;Times;Serif"/>
          <w:b w:val="false"/>
          <w:i w:val="false"/>
          <w:caps w:val="false"/>
          <w:smallCaps w:val="false"/>
          <w:sz w:val="20"/>
          <w:u w:val="single"/>
        </w:rPr>
        <w:t>Waivers;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acknowledged by the Administrative Agent,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provided in Section 2.20 with respect to an Incremental Facility Amendment, in Section 2.21 with respect to an extension of the Maturity Date or as provided in Section 2.14(c),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agreement shall (i) increase the amount of or extend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any amendment or modification of the financial covenants in this Agreement (or defined terms used in the financial covenants in this Agreement) or pursuant to the terms of Section 2.14(c) shall not constitute a reduction in the rate of interest or fees for purposes of this clause (ii) even if the effect of such amendment or modification would be to reduce the rate of interest on any Loan or any LC Disbursement or to reduce any fee payable hereunder and (y) only the consent of the Required Lenders shall be necessary to amend the provisions of Section 2.13(c) or to waive any obligation of the Borrower to pay interest or any other amount at the interest rate prescribed in such Section),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(other than (x) any reduction of the amount of, or any extension of the payment date for, the mandatory prepayments required under Section 2.11, in each case which shall only require the approval of the Required Lenders and (y) with respect to the matters set forth in clauses (ii)(x) and (ii)(y) above), (iv) change Section 2.09(c) or Section 2.18(b) or (c) in a manner that would alter the ratable reduction of Commitments or the pro rata sharing of payments required thereby, without the written consent of each Lender, (v) change the payment waterfall provisions of Section 2.24(b)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Facility Amendment, Incremental Term Loans may be included in the determination of Required Lenders on substantially the same basis as the Commitments and the Revolving Loans are included on the Effective Date) or (vii) subordinate, or have the effect of subordinating, the Obligations to any other Indebtedness or other obligations without the written consent of each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such agreement shall amend, modify or otherwise affect the rights or duties of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any Issuing Bank or the Swingline Lender hereunder without the prior written consent of the Administrative Agent, such Issuing Bank or the Swingline Lender, as the case may be (it being understood that any change to Section 2.24 shall require the consent of the Administrative Agent, the Issuing Banks and the Swingline Lender).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Facility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 (it being understood and agreed that any such amendment (i) in connection with new or increases to the Commitments and/or Incremental Term Loans in accordance with Section 2.20 or (ii) in connection with any extension in accordance with Section 2.21 shall, in any such case, require solely only the consent of the parties prescribed by such Section and shall not require the consent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then the Company may elect to replace a Non-Consenting Lender as a Lender party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(A) the outstanding principal amount of its Loans and participations in LC Disbursements and all interest, fees and other amounts then accrued but unpaid to such Non-Consenting Lender by the Borrower hereunder to and including the date of termination, including payments due to such Non-Consenting Lender under Sections 2.15 and 2.17, and (B)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following the effectiveness of any such assignment, the other parties to such assignment agree to execute and deliver such documents necessary to evidence such assignment as reasonably requested by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the Administrative Agent may, with the consent of the Company only, amend, modify or supplement this Agreement or any of the other Loan Documents to cure any ambiguity, omission, mistake, defect or inconsistency or correct any typographical error or other manifest error in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to the contrary herein,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tab/>
      </w:r>
      <w:r>
        <w:rPr>
          <w:rFonts w:ascii="Times New Roman;Times;Serif" w:hAnsi="Times New Roman;Times;Serif"/>
          <w:b w:val="false"/>
          <w:i w:val="false"/>
          <w:caps w:val="false"/>
          <w:smallCaps w:val="false"/>
          <w:sz w:val="20"/>
          <w:u w:val="single"/>
        </w:rPr>
        <w:t>Expenses; Indemnity; Damage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pay (i) all reasonable and documented out-of-pocket expenses incurred by the Administrative Agent and its Affiliates (which shall be limited, in the case of legal fees and expenses, to the reasonable and documented fees, disbursements and other charges of a single firm as primary counsel, along with such specialist counsel as may reasonably be required by the Administrative Agent, and, to the extent reasonably necessary, a single firm of local counsel in each applicable jurisdiction, for the Administrative Agent) in connection with the syndication and distribution (including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renewal or extension of any Letter of Credit or any demand for payment thereunder and (iii) all reasonable and documented out-of-pocket expenses incurred by the Administrative Agent, any Issuing Bank or any Lender (which shall be limited, in the case of legal fees and expenses, to the reasonable and documented fees, disbursements and other charges of a single firm as primary counsel, along with such specialist counsel as may reasonably be required by the Administrative Agent, and a single firm of local counsel in each applicable jurisdiction as may reasonably be required by the Administrative Agent, for the Administrative Agent, and not more than a single firm of outside counsel, and a single firm of local counsel in each applicable jurisdiction as may reasonably be required, for all of the other Lenders and, in the event of an actual or reasonably perceived conflict of interest (as reasonably determined by the Administrative Agent or applicable Lender and such person informs the Company of such conflict), one additional firm of counsel for each group of similarly affected parties)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(subject to the foregoing limitations with respect to legal fees and expenses) incurred during any workout, restructuring or negotiations in respect of such Loans or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indemnify the Administrative Agent, each Joint Bookrunner, each Issuing Bank and each Lender, and each Related Party of any of the foregoing Persons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against, and hold each Indemnitee harmless from, any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all losses, claims, damages, liabilities and related reasonable and documented out-of-pocket costs and expenses (which shall be limited, in the case of legal fees and expenses, to the reasonable and documented out-of-pocket fees, charges and disbursements of (x) a single firm as primary counsel, along with such specialist counsel as may reasonably be required by the Administrative Agent, and, to the extent reasonably necessary, a single firm of local counsel in each applicable jurisdiction for the Administrative Agent and its Related Parties, and (y) not more than a single firm of outside counsel, and a single firm of local counsel in each applicable jurisdiction as may reasonably be required, for all of the other Indemnitees and, in the event of an actual or reasonably perceived conflict of interest (as reasonably determined by the applicable Indemnitee and such Indemnitee informs the Company of such conflict), one additional firm of counsel to each group of similarly affected Indemnitees), incurred by or asserted against any Indemnitee arising out of, in connection with, or as a result of (i) the execution or delivery of any Loan Document or any agreement or instrument contemplated thereby (including any Indemnitee’s reliance on any Related Communication executed using an Electronic Signature, or in the form of an Electronic Record, that such Indemnitee reasonably believes is made by an authorized Person),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arbitration or proceeding relating to any of the foregoing, whether or not such claim, litigation, investigation or proceeding is brought by the Company or its or their respective equity holders, Affiliates, creditors or any other third Person and whether based on contract, tort or any other theory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willful misconduct or gross negligence of such Indemnitee or any of its Controlled Related Parties, (B) a breach in bad faith by such Indemnitee of any of its material obligations under the applicable Loan Documents pursuant to a claim or counterclaim initiated by the Borrower or (C) any dispute solely among Indemnitees (not arising as a result of any act or omission by the Company or any of its Subsidiaries or Affiliates) other than claims against any Credit Party in its capacity as, or in fulfilling its role as, the Administrative Agent, an Issuing Bank, the Swingline Lender, a Joint Bookrunner, agent or any similar role under or in connection with this Agreement. As used in this Section 9.03, a “</w:t>
      </w:r>
      <w:r>
        <w:rPr>
          <w:rFonts w:ascii="Times New Roman;Times;Serif" w:hAnsi="Times New Roman;Times;Serif"/>
          <w:b w:val="false"/>
          <w:i w:val="false"/>
          <w:caps w:val="false"/>
          <w:smallCaps w:val="false"/>
          <w:sz w:val="20"/>
          <w:u w:val="single"/>
        </w:rPr>
        <w:t>Controlled Related Party</w:t>
      </w:r>
      <w:r>
        <w:rPr>
          <w:rFonts w:ascii="Times New Roman;Times;Serif" w:hAnsi="Times New Roman;Times;Serif"/>
          <w:b w:val="false"/>
          <w:i w:val="false"/>
          <w:caps w:val="false"/>
          <w:smallCaps w:val="false"/>
          <w:sz w:val="20"/>
        </w:rPr>
        <w:t xml:space="preserve">” of an Indemnitee means (1) any Controlling Person or Controlled Affiliate of such Indemnitee, (2) the respective directors, officers, or employees of such Indemnitee or any of its Controlling Persons or Controlled Affiliates and (3) the respective agents or representatives of such Indemnitee or any of its Controlling Persons or Controlled Affiliates, in the case of this clause (3), acting on behalf of or at the instructions of such Indemnitee, Controlling Person or such Controlled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reference to a Controlling Person, Controlled Affiliate, director, officer or employee in this sentence pertains to a Controlling Person, Controlled Affiliate, director, officer or employee involved in the structuring, arrangement, negotiation or syndication of the credit facility evidenced by this Agreement. This Section 9.03(b) shall not apply with respect to Taxes other than any Taxes that represent losses, claims or damages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that the Company fails to pay any amount required to be paid by it to the Administrative Agent, any Issuing Bank or the Swingline Lender under paragraph (a) or (b) of this Section, each Lender severally agrees to pay to the Administrative Agent, such Issuing Bank</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the Swingline Lender, as the case may be, such Lender’s Applicable Percentage (determined as of the time that the applicable unreimbursed expense or indemnity payment is sought) of such unpaid amount (it being understood that the Company’s failure to pay any such amount shall not relieve the Company of any default in the payment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the Administrative Agent, such Issuing Bank or the Swingline Lender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permitted by applicable law, and subject to the proviso set forth in Section 8.02(c), the Borrower shall not assert, and the Borrower hereby waives, any claim against any Indemnitee for any damages arising from the use by others of information or other materials obtained through telecommunications, electronic or other information transmission systems (including the Internet) other than damages that are determined by a court of competent jurisdiction by final and nonappealable judgment to have resulted from the gross negligence or willful misconduct of such Indemnitee or any of its Controlled Related Parties. To the extent permitted by applicable law, no Indemnitee shall assert against the Borrower or its Related Parties and the Borrower shall not assert against any Indemnitee, and each Indemnitee and the Borrower hereby waives, any claim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contained in this sentence shall limit the Company’s indemnity obligations to the extent set forth in Section 9.03(b).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amounts due under this Section shall be payable not later than fifteen (15) days after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tab/>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conditioned or delayed)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be deemed to have consented to any such assignment unless it shall object thereto by written notice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Administrative Agent within ten (10) Business Days after having received written notice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consent of the Company shall be required for an assignment to a Lender, an Affiliate of a Lender, an Approved Fund or, if an Event of Default under clause (a), (b), (h), (i) or (j) of Article VII has occurred and is continuing, any other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Administrative Agent shall be required for an assignment to a Lender, an Affiliate of a Lender or an Approved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Issuing Bank;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Assignments shall be subject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and increments of $1,000,000 in excess thereof unless each of the Company and the Administrative Agent otherwise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consent of the Company shall be required if an Event of Default under clause (a), (b), (h), (i) or (j) of Article VII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partial assignment shall be made as an assignment of a proportionate part of all the assigning Lender’s rights and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shall not be construed to prohibit the assignment of a proportionate part of all the assigning Lender’s rights and obligations in respect of one Class of Commitments or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to each assignment shall execute and deliver to the Administrative Agent (x) an Assignment and Assumption or (y) to the extent applicable, an agreement incorporating an Assignment and Assumption by reference pursuant to an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04"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Related Parties and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acceptance and recording thereof by the Administrative Agent pursuant to paragraph (b)(iv) of this Section, from and after the effective date specified in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Assignment and Assumption the assignee thereunder shall be a party hereto and, to the extent of the interest assigned by such Assignment and Assumption, have the rights and obligations (including the obligation to timely deliver the documentation described in Section 2.17(f))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its receipt of (x) a duly completed Assignment and Assumption executed by an assigning Lender and an assignee or (y) to the extent applicable, an agreement incorporating an Assignment and Assumption by reference pursuant to an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either the assigning Lender or the assignee shall have failed to make any payment required to be made by it pursuant to Section 2.05(c), Section 2.06(d), Section 2.06(e), Section 2.07(b), Section 2.18(d) or Section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Lender may, without the consent of, or notice to, the Borrower, the Administrative Agent, the Issuing Banks or the Swingline Lender, sell participations to any Person other than an Ineligible Institution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in all or a portion of such Lender’s rights and/or obligations under this Agreement (including all or a portion of its Commitment and/or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Lender’s obligations under this Agreement shall remain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unchanged, (ii) such Lender shall remain solely responsible to the other parties hereto for the performance of such obligations, and (iii)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 agrees to be subject to the provisions of Sections 2.18 and 2.19 as if it were an assignee under paragraph (b) of this Section, and (B) shall not be entitled to receive any greater payment under Sections 2.15, 2.16 or 2.17,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agrees to be subject to Section 2.18(c)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Lender may at any time pledge or assign a security interest in all or any portion of its rights under this Agreement to secure obligations of such Lender, including any pledge or assignment to secure obligations to a Federal Reserve Bank or other central banking authority having jurisdiction over such Lender, and this Section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of a security interest shall release such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contained herein, if at any time any Issuing Bank or the Swingline Lender assigns all of its Commitment and Loans pursuant to clause (b) above, such Issuing Bank or Swingline Lender may, (i) upon 30 days’ notice to the Administrative Agent, the Borrower and the Lenders, resign as an Issuing Bank and/or (ii) upon 30 days’ notice to the Borrower, resign as the Swingline Lender. In the event of any such resignation as an Issuing Bank or the Swingline Lender, the Borrower shall be entitled to appoint from among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Lenders a successor Issuing Bank or Swingline Lender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failure by the Borrower to appoint any such successor shall affect the resignation of the applicable Issuing Bank or the Swingline Lender as an Issuing Bank or the Swingline Lender, as the case may be. If the applicable Issuing Bank resigns as an Issuing Bank, it shall retain all the rights, powers, privileges and duties of an Issuing Bank hereunder with respect to all Letters of Credit issued by it and outstanding as of the effective date of its resignation as an Issuing Bank and all Obligations with respect to such LC Exposure (including the right to require the Lenders to make ABR Loans or fund risk participations in Unreimbursed Amounts pursuant to Section 2.06(d)). If the Swingline Lender resigns as Swingline Lender, it shall retain all the rights of the Swingline Lender provided for hereunder with respect to Swingline Loans made by it and outstanding as of the effective date of such resignation, including the right to require the Lenders to make ABR Loans or fund risk participations in outstanding Swingline Loans pursuant to Section 2.05(c). Upon the appointment of a successor Issuing Bank and/or Swingline Lender, (x) such successor shall succeed to and become vested with all of the rights, powers, privileges and duties of the retiring Issuing Bank or Swingline Lender, as the case may be, and (y) the successor Issuing Bank shall issue letters of credit in substitution for the Letters of Credit, if any, outstanding at the time of such succession or make other arrangements satisfactory to the applicable retiring Issuing Bank to effectively assume the obligations of the applicable retiring Issuing Bank with respect to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tab/>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All covenants, agreements, representations and warranties made by the Borrower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(unless such Letter of Credit has been cash collateralized or backstopped pursuant to arrangements reasonably satisfactory to the Administrative Agent) and so long as the Commitments have not expired or terminated. The provisions of Sections 2.15, 2.16, 2.17, 2.22,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tab/>
      </w:r>
      <w:r>
        <w:rPr>
          <w:rFonts w:ascii="Times New Roman;Times;Serif" w:hAnsi="Times New Roman;Times;Serif"/>
          <w:b w:val="false"/>
          <w:i w:val="false"/>
          <w:caps w:val="false"/>
          <w:smallCaps w:val="false"/>
          <w:sz w:val="20"/>
          <w:u w:val="single"/>
        </w:rPr>
        <w:t>Counterparts; Integration; Effectiveness; Electronic Execution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executed signature page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any other Loan Document and any document, amendment, approval, consent, information, notice, certificate, request, statement, disclosure or authorization related to this Agreement (each, a “</w:t>
      </w:r>
      <w:r>
        <w:rPr>
          <w:rFonts w:ascii="Times New Roman;Times;Serif" w:hAnsi="Times New Roman;Times;Serif"/>
          <w:b w:val="false"/>
          <w:i w:val="false"/>
          <w:caps w:val="false"/>
          <w:smallCaps w:val="false"/>
          <w:sz w:val="20"/>
          <w:u w:val="single"/>
        </w:rPr>
        <w:t>Related Communication</w:t>
      </w:r>
      <w:r>
        <w:rPr>
          <w:rFonts w:ascii="Times New Roman;Times;Serif" w:hAnsi="Times New Roman;Times;Serif"/>
          <w:b w:val="false"/>
          <w:i w:val="false"/>
          <w:caps w:val="false"/>
          <w:smallCaps w:val="false"/>
          <w:sz w:val="20"/>
        </w:rPr>
        <w:t>”), including Related Communications required to be in writing, may be in the form of an Electronic Record and may be executed using Electronic Signatures. The Company and each Credit Party agrees that any Electronic Signature on or associated with any Related Communication shall be valid and binding on such Person to the same extent as a manual, original signature, and that any Related Communication entered into by Electronic Signature, will constitute the legal, valid and binding obligation of such Person enforceable against such Person in accordance with the terms thereof to the same extent as if a manually executed original signature was delivered. Any Related Communication may be executed in as many counterparts as necessary or convenient, including both paper and electronic counterparts, but all such counterparts are one and the same Related Communication. Delivery of an executed counterpart of a signature page of any Related Communication by facsimile or other electronic messaging means (e.g. “.pdf” or “.tif”) shall be effective as delivery of a manually executed counterpart of such Related Communication. For the avoidance of doubt, the authorization under this Section 9.06(b) may include use or acceptance of a manually signed paper Related Communication which has been converted into electronic form (such as scanned into .pdf), or an electronically signed Related Communication converted into another format, for transmission, delivery and/or retention. Each Credit Party may, at its option, create one or more copies of any Related Communication in the form of an imaged Electronic Record (each, an “</w:t>
      </w:r>
      <w:r>
        <w:rPr>
          <w:rFonts w:ascii="Times New Roman;Times;Serif" w:hAnsi="Times New Roman;Times;Serif"/>
          <w:b w:val="false"/>
          <w:i w:val="false"/>
          <w:caps w:val="false"/>
          <w:smallCaps w:val="false"/>
          <w:sz w:val="20"/>
          <w:u w:val="single"/>
        </w:rPr>
        <w:t>Electronic Copy</w:t>
      </w:r>
      <w:r>
        <w:rPr>
          <w:rFonts w:ascii="Times New Roman;Times;Serif" w:hAnsi="Times New Roman;Times;Serif"/>
          <w:b w:val="false"/>
          <w:i w:val="false"/>
          <w:caps w:val="false"/>
          <w:smallCaps w:val="false"/>
          <w:sz w:val="20"/>
        </w:rPr>
        <w:t xml:space="preserve">”), which shall be deemed created in the ordinary course of such Person’s business, and destroy the original paper document. All Related Communications in the form of an Electronic Record, including an Electronic Copy, shall be considered an original for all purposes, and shall have the same legal effect, validity and enforceability as a paper record. Notwithstanding anything contained herein to the contrary, no Credit Party is under any obligation to accept an Electronic Signature in any form or in any format unless expressly agreed to by such Person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without limiting the foregoing, (i) to the extent such Credit Party has agreed to accept such Electronic Signature, each of the Credit Parties shall be entitled to rely on any such Electronic Signature purportedly given by or on behalf of the Company and/or any Credit Party without further verification and regardless of the appearance or form of such Electronic Signature, and (ii) upon the request of any Credit Party, any Related Communication executed using an Electronic Signature shall be promptly followed by a manually executed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Credit Party shall be responsible for or have any duty to ascertain or inquire into the sufficiency, validity, enforceability, effectiveness or genuineness of any Loan Document or any other Related Communication (including, for the avoidance of doubt, in connection with such Credit Party’s reliance on any Electronic Signature transmitted by telecopy, emailed .pdf or any other electronic means). Each Credit Party shall be entitled to rely on, and shall incur no liability under or in respect of this Agreement or any other Loan Document by acting upon, any Related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Company and each Credit Party hereby waives (A) any argument, defense or right to contest the legal effect, validity or enforceability of this Agreement or any other Loan Document based solely on the lack of paper original copies of this Agreement or such other Loan Document, and (b) any claim against any Credit Party for any liabilities arising solely from any Credit Party’s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or use of Electronic Signatures, including any liabilities arising as a result of the failure of the Company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tab/>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w:t>
        <w:tab/>
      </w:r>
      <w:r>
        <w:rPr>
          <w:rFonts w:ascii="Times New Roman;Times;Serif" w:hAnsi="Times New Roman;Times;Serif"/>
          <w:b w:val="false"/>
          <w:i w:val="false"/>
          <w:caps w:val="false"/>
          <w:smallCaps w:val="false"/>
          <w:sz w:val="20"/>
          <w:u w:val="single"/>
        </w:rPr>
        <w:t>Right of Setoff</w:t>
      </w:r>
      <w:r>
        <w:rPr>
          <w:rFonts w:ascii="Times New Roman;Times;Serif" w:hAnsi="Times New Roman;Times;Serif"/>
          <w:b w:val="false"/>
          <w:i w:val="false"/>
          <w:caps w:val="false"/>
          <w:smallCaps w:val="false"/>
          <w:sz w:val="20"/>
        </w:rPr>
        <w:t xml:space="preserve">. Subject to Section 2.24(b) and any limitations expressly agreed to by any Lender or its Affiliate, as applicable, pursuant to any Banking Services Agreement or Swap Agreement to which such Lender or Affiliate is a party, if an Event of Default shall have occurred and be continuing and the Loans have been accelerated pursuant to Article VII,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of the Obligations then due and owing by the Borrower held by such Lender, irrespective of whether or not such Lender shall have made any demand under the Loan Documents. The rights of each Lender under this Section are in addition to other rights and remedies (including other rights of setoff) which such Lender may have. Each Lender and each Issuing Bank agrees to notify the Company and the Administrative Agent promptly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9.09</w:t>
        <w:tab/>
      </w:r>
      <w:r>
        <w:rPr>
          <w:rFonts w:ascii="Times New Roman;Times;Serif" w:hAnsi="Times New Roman;Times;Serif"/>
          <w:b w:val="false"/>
          <w:i w:val="false"/>
          <w:caps w:val="false"/>
          <w:smallCaps w:val="false"/>
          <w:sz w:val="20"/>
          <w:u w:val="single"/>
        </w:rPr>
        <w:t>Governing Law; Jurisdiction; Consent to Service of Process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RIGHTS AND OBLIGATIONS OF THE PARTIES HEREUNDER SHALL BE CONSTRUED AND ENFORCED IN ACCORDANCE WITH AND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 transactions contemplated hereby or thereby shall be construed in accordance with and governed by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bring any action or proceeding relating to this Agreement or any other Loan Document against the Borrower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tab/>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tab/>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tab/>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disclosing Administrative Agent, Issuing Bank or Lender, as applicable, shall be responsible for compliance by such Persons with the provisions of this Section 9.12; (b) to the extent requested by any regulatory authority purporting to have jurisdiction over it or its Affiliates (including any self-regulatory authority, such as the National Association of Insurance Commissioners); (c) to the extent required by applicable laws or regulations or by any subpoena or similar legal process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such Issuing Bank or such Lender, as applicable, agrees that it will, to the extent practicable and other than with respect to any audit or examination conducted by bank accountants or any governmental bank regulatory authority exercising examination or regulatory authority, notify the Company promptly thereof, unless such notification is prohibited by law, rule or regulation);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credit insurance provider or broker in connection with the Borrower and its obligations under this Agreement and any actual or prospective party (or its managers, administrators, trustees, partners, directors, officers, employees, agents, advisors and other representatives) to any swap or derivative or similar transaction to which the Administrative Agent, any Issuing Bank or any Lender is a party and under which payments are to be made by reference to the Borrower and its obligations, this Agreement or payments hereunder; (g) on a confidential basis to (i) any rating agency in connection with rating the Company or its Subsidiaries or the credit facilities provided for herein, (ii) the provider of any Platform or other electronic delivery service used to deliver Borrower Materials or notices to the Lenders, or (iii) the CUSIP Service Bureau or any similar agency in connection with the application, issuance, publishing and monitoring of CUSIP numbers with respect to the credit facilities provided for herein; (h) with the prior written consent of the Company; or (i) to the extent such Information (i) becomes publicly available other than as a result of a breach of this Section, (ii) is independently discovered or developed by a party hereto without utilizing any Information received from the Borrower or violating the terms of this Section, or (iii) becomes available to the Administrative Agent, any Issuing Bank or any Lender on a nonconfidential basis from a source other than the Borrower or any of its Related Parties. For the purposes of this Section,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means all information received from or on behalf of the Borrower or any of its Related Parties relating to the Borrower or any Subsidiary or its business or securities, other than any such information that is available to the Administrative Agent, any Issuing Bank or any Lender on a nonconfidential basis prior to disclosure by or on behalf of the Borrower or any of its respective Related Parties and other than customary information regarding the closing date, size, type, purpose of and parties to the facilities under this Agreement of the type that is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notification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OF THE ADMINISTRATIVE AGENT, EACH ISSUING BANK AND EACH LENDER ACKNOWLEDGES THAT INFORMATION AS DEFINED IN THE IMMEDIATELY PRECEDING PARAGRAPH FURNISHED TO IT PURSUANT TO OR IN CONNECTION WITH THIS AGREEMENT OR ANY OTHER LOAN DOCUMENT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INFORMATION, INCLUDING REQUESTS FOR WAIVERS AND AMENDMENTS, FURNISHED BY OR ON BEHALF OF THE BORROWER OR THE ADMINISTRATIVE AGENT PURSUANT TO, IN CONNECTION WITH OR OTHERWISE IN THE COURSE OF ADMINISTERING THIS AGREEMENT OR ANY OTHER LOAN DOCUMENT WILL BE SYNDICATE-LEVEL INFORMATION, WHICH MAY CONTAIN MATERIAL NON-PUBLIC INFORMATION ABOUT THE COMPANY AND ITS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tab/>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Each Lender that is subject to the Patriot Act and the Administrative Agent (for itself and not on behalf of any Lender) hereby notifies the Borrower that pursuant to the requirements of the Patriot Act, it is required to obtain, verify and record information that identifies the Company, which information includes the name and address of the Company and other information that will allow such Lender or the Administrative Agent, as applicable, to identify the Company in accordance with the Act. The Company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w:t>
        <w:tab/>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w:t>
        <w:tab/>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Overnight Bank Funding Rate to the date of repayment, shall have been received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9.16</w:t>
        <w:tab/>
      </w:r>
      <w:r>
        <w:rPr>
          <w:rFonts w:ascii="Times New Roman;Times;Serif" w:hAnsi="Times New Roman;Times;Serif"/>
          <w:b w:val="false"/>
          <w:i w:val="false"/>
          <w:caps w:val="false"/>
          <w:smallCaps w:val="false"/>
          <w:sz w:val="20"/>
          <w:u w:val="single"/>
        </w:rPr>
        <w:t>No Advisory or Fiduciary Responsibility</w:t>
      </w:r>
      <w:r>
        <w:rPr>
          <w:rFonts w:ascii="Times New Roman;Times;Serif" w:hAnsi="Times New Roman;Times;Serif"/>
          <w:b w:val="false"/>
          <w:i w:val="false"/>
          <w:caps w:val="false"/>
          <w:smallCaps w:val="false"/>
          <w:sz w:val="20"/>
        </w:rPr>
        <w:t>. In connection with all aspects of each transaction contemplated hereby (including in connection with any amendment, waiver or other modification hereof or of any other Loan Document), the Company acknowledges and agrees, and acknowledges its Affiliates’ understanding, that: (a)(i) the arranging and other services regarding this Agreement provided by the Administrative Agent, the Joint Bookrunners and the Lenders are arm’s-length commercial transactions between the Company and its Affiliates, on the one hand, and the Administrative Agent, the Joint Bookrunners and the Lenders, on the other hand, (ii) each of the Company has consulted its own legal, accounting, regulatory and tax advisors to the extent it has deemed appropriate, and (iii) the Company is capable of evaluating, and understands and accepts, the terms, risks and conditions of the transactions contemplated hereby and by the other Loan Documents; (b)(i) the Administrative Agent, the Joint Bookrunners and each Lender is and has been acting solely as a principal and, except as expressly agreed in writing by the relevant parties, has not been, is not, and will not be acting as an advisor, agent or fiduciary for the Company or any of its Affiliates, or any other Person and (ii) none of the Administrative Agent, any Joint Bookrunner or any Lender has any obligation to the Company or any of its Affiliates with respect to the transactions contemplated hereby except those obligations expressly set forth herein and in the other Loan Documents; and (c) the Administrative Agent, the Joint Bookrunners and the Lenders and their respective Affiliates may be engaged in a broad range of transactions that involve interests that differ from those of the Company and its Affiliates, and none of the Administrative Agent, any Joint Bookrunners, or any Lender has any obligation to disclose any of such interests to the Company or any of its Affiliates. To the fullest extent permitted by law, the Company hereby waives and releases any claims that it may have against the Administrative Agent, any Joint Bookrunner or any Lender with respect to any breach or alleged breach of agency or fiduciary duty in connection with any aspect of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9.17</w:t>
        <w:tab/>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EEA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any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9.18</w:t>
        <w:tab/>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Swap Agreements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 hereto acknowledge and agree,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that 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by their respective authorized officers or other authorized signatories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75"/>
        <w:gridCol w:w="365"/>
        <w:gridCol w:w="545"/>
        <w:gridCol w:w="221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pPr>
            <w:r>
              <w:rPr/>
              <w:t>ILLUMINA,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20" w:type="dxa"/>
            <w:gridSpan w:val="3"/>
            <w:tcBorders/>
            <w:vAlign w:val="center"/>
          </w:tcPr>
          <w:p>
            <w:pPr>
              <w:pStyle w:val="TableContents"/>
              <w:bidi w:val="0"/>
              <w:spacing w:before="0" w:after="283"/>
              <w:jc w:val="left"/>
              <w:rPr/>
            </w:pPr>
            <w:r>
              <w:rPr/>
              <w:t>a Delaware corporation,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20" w:type="dxa"/>
            <w:gridSpan w:val="3"/>
            <w:tcBorders/>
            <w:vAlign w:val="center"/>
          </w:tcPr>
          <w:p>
            <w:pPr>
              <w:pStyle w:val="TableContents"/>
              <w:bidi w:val="0"/>
              <w:spacing w:before="0" w:after="283"/>
              <w:jc w:val="left"/>
              <w:rPr/>
            </w:pPr>
            <w:r>
              <w:rPr/>
              <w:t>as the Borrower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2755" w:type="dxa"/>
            <w:gridSpan w:val="2"/>
            <w:tcBorders>
              <w:bottom w:val="single" w:sz="12" w:space="0" w:color="000000"/>
            </w:tcBorders>
            <w:tcMar>
              <w:bottom w:w="28" w:type="dxa"/>
            </w:tcMar>
            <w:vAlign w:val="center"/>
          </w:tcPr>
          <w:p>
            <w:pPr>
              <w:pStyle w:val="TableContents"/>
              <w:bidi w:val="0"/>
              <w:spacing w:before="0" w:after="283"/>
              <w:jc w:val="left"/>
              <w:rPr/>
            </w:pPr>
            <w:r>
              <w:rPr/>
              <w:t>/s/ Ankur Dhingra</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210" w:type="dxa"/>
            <w:tcBorders/>
            <w:vAlign w:val="center"/>
          </w:tcPr>
          <w:p>
            <w:pPr>
              <w:pStyle w:val="TableContents"/>
              <w:bidi w:val="0"/>
              <w:spacing w:before="0" w:after="283"/>
              <w:jc w:val="left"/>
              <w:rPr/>
            </w:pPr>
            <w:r>
              <w:rPr/>
              <w:t>Ankur Dhingra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 </w:t>
            </w:r>
          </w:p>
        </w:tc>
        <w:tc>
          <w:tcPr>
            <w:tcW w:w="221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Illumina, Inc. Credit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94" w:type="dxa"/>
        <w:jc w:val="left"/>
        <w:tblInd w:w="0" w:type="dxa"/>
        <w:tblLayout w:type="fixed"/>
        <w:tblCellMar>
          <w:top w:w="0" w:type="dxa"/>
          <w:left w:w="0" w:type="dxa"/>
          <w:bottom w:w="0" w:type="dxa"/>
          <w:right w:w="0" w:type="dxa"/>
        </w:tblCellMar>
      </w:tblPr>
      <w:tblGrid>
        <w:gridCol w:w="75"/>
        <w:gridCol w:w="381"/>
        <w:gridCol w:w="569"/>
        <w:gridCol w:w="1994"/>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2944" w:type="dxa"/>
            <w:gridSpan w:val="3"/>
            <w:tcBorders/>
            <w:vAlign w:val="center"/>
          </w:tcPr>
          <w:p>
            <w:pPr>
              <w:pStyle w:val="TableContents"/>
              <w:bidi w:val="0"/>
              <w:spacing w:before="0" w:after="283"/>
              <w:jc w:val="left"/>
              <w:rPr/>
            </w:pPr>
            <w:r>
              <w:rPr/>
              <w:t>BANK OF AMERICA, N.A.,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44" w:type="dxa"/>
            <w:gridSpan w:val="3"/>
            <w:tcBorders/>
            <w:vAlign w:val="center"/>
          </w:tcPr>
          <w:p>
            <w:pPr>
              <w:pStyle w:val="TableContents"/>
              <w:bidi w:val="0"/>
              <w:spacing w:before="0" w:after="283"/>
              <w:jc w:val="left"/>
              <w:rPr/>
            </w:pPr>
            <w:r>
              <w:rPr/>
              <w:t>as the Administrative Agent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2563"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2563"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20"/>
              </w:rPr>
            </w:pPr>
            <w:r>
              <w:rPr>
                <w:sz w:val="20"/>
              </w:rPr>
              <w:t xml:space="preserve">By: </w:t>
            </w:r>
          </w:p>
        </w:tc>
        <w:tc>
          <w:tcPr>
            <w:tcW w:w="2563" w:type="dxa"/>
            <w:gridSpan w:val="2"/>
            <w:tcBorders>
              <w:bottom w:val="single" w:sz="12" w:space="0" w:color="000000"/>
            </w:tcBorders>
            <w:tcMar>
              <w:bottom w:w="28" w:type="dxa"/>
            </w:tcMar>
            <w:vAlign w:val="center"/>
          </w:tcPr>
          <w:p>
            <w:pPr>
              <w:pStyle w:val="TableContents"/>
              <w:bidi w:val="0"/>
              <w:spacing w:before="0" w:after="283"/>
              <w:jc w:val="left"/>
              <w:rPr/>
            </w:pPr>
            <w:r>
              <w:rPr/>
              <w:t>/s/ DeWayne D. Rosse</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sz w:val="20"/>
              </w:rPr>
            </w:pPr>
            <w:r>
              <w:rPr>
                <w:sz w:val="20"/>
              </w:rPr>
              <w:t>Name:</w:t>
            </w:r>
          </w:p>
        </w:tc>
        <w:tc>
          <w:tcPr>
            <w:tcW w:w="1994" w:type="dxa"/>
            <w:tcBorders/>
            <w:vAlign w:val="center"/>
          </w:tcPr>
          <w:p>
            <w:pPr>
              <w:pStyle w:val="TableContents"/>
              <w:bidi w:val="0"/>
              <w:spacing w:before="0" w:after="283"/>
              <w:jc w:val="left"/>
              <w:rPr/>
            </w:pPr>
            <w:r>
              <w:rPr/>
              <w:t>DeWayne D. Rosse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sz w:val="20"/>
              </w:rPr>
            </w:pPr>
            <w:r>
              <w:rPr>
                <w:sz w:val="20"/>
              </w:rPr>
              <w:t>Title: </w:t>
            </w:r>
          </w:p>
        </w:tc>
        <w:tc>
          <w:tcPr>
            <w:tcW w:w="1994" w:type="dxa"/>
            <w:tcBorders/>
            <w:vAlign w:val="center"/>
          </w:tcPr>
          <w:p>
            <w:pPr>
              <w:pStyle w:val="TableContents"/>
              <w:bidi w:val="0"/>
              <w:spacing w:before="0" w:after="283"/>
              <w:jc w:val="left"/>
              <w:rPr/>
            </w:pPr>
            <w:r>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Illumina, Inc. Credit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75"/>
        <w:gridCol w:w="854"/>
        <w:gridCol w:w="1276"/>
        <w:gridCol w:w="3139"/>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5269" w:type="dxa"/>
            <w:gridSpan w:val="3"/>
            <w:tcBorders/>
            <w:vAlign w:val="center"/>
          </w:tcPr>
          <w:p>
            <w:pPr>
              <w:pStyle w:val="TableContents"/>
              <w:bidi w:val="0"/>
              <w:spacing w:before="0" w:after="283"/>
              <w:jc w:val="left"/>
              <w:rPr/>
            </w:pPr>
            <w:r>
              <w:rPr/>
              <w:t>BANK OF AMERICA, N.A.,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9" w:type="dxa"/>
            <w:gridSpan w:val="3"/>
            <w:tcBorders/>
            <w:vAlign w:val="center"/>
          </w:tcPr>
          <w:p>
            <w:pPr>
              <w:pStyle w:val="TableContents"/>
              <w:bidi w:val="0"/>
              <w:spacing w:before="0" w:after="283"/>
              <w:jc w:val="left"/>
              <w:rPr/>
            </w:pPr>
            <w:r>
              <w:rPr/>
              <w:t>as a Lender, an Issuing Bank and the Swingline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4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4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sz w:val="20"/>
              </w:rPr>
            </w:pPr>
            <w:r>
              <w:rPr>
                <w:sz w:val="20"/>
              </w:rPr>
              <w:t xml:space="preserve">By: </w:t>
            </w:r>
          </w:p>
        </w:tc>
        <w:tc>
          <w:tcPr>
            <w:tcW w:w="4415" w:type="dxa"/>
            <w:gridSpan w:val="2"/>
            <w:tcBorders>
              <w:bottom w:val="single" w:sz="12" w:space="0" w:color="000000"/>
            </w:tcBorders>
            <w:tcMar>
              <w:bottom w:w="28" w:type="dxa"/>
            </w:tcMar>
            <w:vAlign w:val="center"/>
          </w:tcPr>
          <w:p>
            <w:pPr>
              <w:pStyle w:val="TableContents"/>
              <w:bidi w:val="0"/>
              <w:spacing w:before="0" w:after="283"/>
              <w:jc w:val="left"/>
              <w:rPr/>
            </w:pPr>
            <w:r>
              <w:rPr/>
              <w:t>/s/ Tyler Morgan</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sz w:val="20"/>
              </w:rPr>
            </w:pPr>
            <w:r>
              <w:rPr>
                <w:sz w:val="20"/>
              </w:rPr>
              <w:t>Name:</w:t>
            </w:r>
          </w:p>
        </w:tc>
        <w:tc>
          <w:tcPr>
            <w:tcW w:w="3139" w:type="dxa"/>
            <w:tcBorders/>
            <w:vAlign w:val="center"/>
          </w:tcPr>
          <w:p>
            <w:pPr>
              <w:pStyle w:val="TableContents"/>
              <w:bidi w:val="0"/>
              <w:spacing w:before="0" w:after="283"/>
              <w:jc w:val="left"/>
              <w:rPr/>
            </w:pPr>
            <w:r>
              <w:rPr/>
              <w:t>Tyler Morgan</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sz w:val="20"/>
              </w:rPr>
            </w:pPr>
            <w:r>
              <w:rPr>
                <w:sz w:val="20"/>
              </w:rPr>
              <w:t>Title: </w:t>
            </w:r>
          </w:p>
        </w:tc>
        <w:tc>
          <w:tcPr>
            <w:tcW w:w="3139"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Illumina, Inc. Credit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427"/>
        <w:gridCol w:w="638"/>
        <w:gridCol w:w="2569"/>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634" w:type="dxa"/>
            <w:gridSpan w:val="3"/>
            <w:tcBorders/>
            <w:vAlign w:val="center"/>
          </w:tcPr>
          <w:p>
            <w:pPr>
              <w:pStyle w:val="TableContents"/>
              <w:bidi w:val="0"/>
              <w:spacing w:before="0" w:after="283"/>
              <w:jc w:val="left"/>
              <w:rPr/>
            </w:pPr>
            <w:r>
              <w:rPr/>
              <w:t>JPMORGAN CHASE BANK, N.A.,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34" w:type="dxa"/>
            <w:gridSpan w:val="3"/>
            <w:tcBorders/>
            <w:vAlign w:val="center"/>
          </w:tcPr>
          <w:p>
            <w:pPr>
              <w:pStyle w:val="TableContents"/>
              <w:bidi w:val="0"/>
              <w:spacing w:before="0" w:after="283"/>
              <w:jc w:val="left"/>
              <w:rPr/>
            </w:pPr>
            <w:r>
              <w:rPr/>
              <w:t>as a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320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320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sz w:val="20"/>
              </w:rPr>
            </w:pPr>
            <w:r>
              <w:rPr>
                <w:sz w:val="20"/>
              </w:rPr>
              <w:t xml:space="preserve">By: </w:t>
            </w:r>
          </w:p>
        </w:tc>
        <w:tc>
          <w:tcPr>
            <w:tcW w:w="3207" w:type="dxa"/>
            <w:gridSpan w:val="2"/>
            <w:tcBorders>
              <w:bottom w:val="single" w:sz="12" w:space="0" w:color="000000"/>
            </w:tcBorders>
            <w:tcMar>
              <w:bottom w:w="28" w:type="dxa"/>
            </w:tcMar>
            <w:vAlign w:val="center"/>
          </w:tcPr>
          <w:p>
            <w:pPr>
              <w:pStyle w:val="TableContents"/>
              <w:bidi w:val="0"/>
              <w:spacing w:before="0" w:after="283"/>
              <w:jc w:val="left"/>
              <w:rPr/>
            </w:pPr>
            <w:r>
              <w:rPr/>
              <w:t>/s/ James Kyle O’Donnell</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sz w:val="20"/>
              </w:rPr>
            </w:pPr>
            <w:r>
              <w:rPr>
                <w:sz w:val="20"/>
              </w:rPr>
              <w:t>Name:</w:t>
            </w:r>
          </w:p>
        </w:tc>
        <w:tc>
          <w:tcPr>
            <w:tcW w:w="2569" w:type="dxa"/>
            <w:tcBorders/>
            <w:vAlign w:val="center"/>
          </w:tcPr>
          <w:p>
            <w:pPr>
              <w:pStyle w:val="TableContents"/>
              <w:bidi w:val="0"/>
              <w:spacing w:before="0" w:after="283"/>
              <w:jc w:val="left"/>
              <w:rPr/>
            </w:pPr>
            <w:r>
              <w:rPr/>
              <w:t>James Kyle O’Donnell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sz w:val="20"/>
              </w:rPr>
            </w:pPr>
            <w:r>
              <w:rPr>
                <w:sz w:val="20"/>
              </w:rPr>
              <w:t>Title: </w:t>
            </w:r>
          </w:p>
        </w:tc>
        <w:tc>
          <w:tcPr>
            <w:tcW w:w="2569" w:type="dxa"/>
            <w:tcBorders/>
            <w:vAlign w:val="center"/>
          </w:tcPr>
          <w:p>
            <w:pPr>
              <w:pStyle w:val="TableContents"/>
              <w:bidi w:val="0"/>
              <w:spacing w:before="0" w:after="283"/>
              <w:jc w:val="left"/>
              <w:rPr/>
            </w:pPr>
            <w:r>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Illumina, Inc. Credit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65" w:type="dxa"/>
        <w:jc w:val="left"/>
        <w:tblInd w:w="0" w:type="dxa"/>
        <w:tblLayout w:type="fixed"/>
        <w:tblCellMar>
          <w:top w:w="0" w:type="dxa"/>
          <w:left w:w="0" w:type="dxa"/>
          <w:bottom w:w="0" w:type="dxa"/>
          <w:right w:w="0" w:type="dxa"/>
        </w:tblCellMar>
      </w:tblPr>
      <w:tblGrid>
        <w:gridCol w:w="75"/>
        <w:gridCol w:w="365"/>
        <w:gridCol w:w="590"/>
        <w:gridCol w:w="14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pPr>
            <w:r>
              <w:rPr/>
              <w:t>CITIBANK, N.A.,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15" w:type="dxa"/>
            <w:gridSpan w:val="3"/>
            <w:tcBorders/>
            <w:vAlign w:val="center"/>
          </w:tcPr>
          <w:p>
            <w:pPr>
              <w:pStyle w:val="TableContents"/>
              <w:bidi w:val="0"/>
              <w:spacing w:before="0" w:after="283"/>
              <w:jc w:val="left"/>
              <w:rPr/>
            </w:pPr>
            <w:r>
              <w:rPr/>
              <w:t>as a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205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Richard Rivera</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460" w:type="dxa"/>
            <w:tcBorders/>
            <w:vAlign w:val="center"/>
          </w:tcPr>
          <w:p>
            <w:pPr>
              <w:pStyle w:val="TableContents"/>
              <w:bidi w:val="0"/>
              <w:spacing w:before="0" w:after="283"/>
              <w:jc w:val="left"/>
              <w:rPr/>
            </w:pPr>
            <w:r>
              <w:rPr/>
              <w:t>Richard Rivera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 </w:t>
            </w:r>
          </w:p>
        </w:tc>
        <w:tc>
          <w:tcPr>
            <w:tcW w:w="1460" w:type="dxa"/>
            <w:tcBorders/>
            <w:vAlign w:val="center"/>
          </w:tcPr>
          <w:p>
            <w:pPr>
              <w:pStyle w:val="TableContents"/>
              <w:bidi w:val="0"/>
              <w:spacing w:before="0" w:after="283"/>
              <w:jc w:val="left"/>
              <w:rPr/>
            </w:pPr>
            <w:r>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Illumina, Inc. Credit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431"/>
        <w:gridCol w:w="645"/>
        <w:gridCol w:w="2438"/>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514" w:type="dxa"/>
            <w:gridSpan w:val="3"/>
            <w:tcBorders/>
            <w:vAlign w:val="center"/>
          </w:tcPr>
          <w:p>
            <w:pPr>
              <w:pStyle w:val="TableContents"/>
              <w:bidi w:val="0"/>
              <w:spacing w:before="0" w:after="283"/>
              <w:jc w:val="left"/>
              <w:rPr/>
            </w:pPr>
            <w:r>
              <w:rPr/>
              <w:t>GOLDMAN SACHS BANK USA,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4" w:type="dxa"/>
            <w:gridSpan w:val="3"/>
            <w:tcBorders/>
            <w:vAlign w:val="center"/>
          </w:tcPr>
          <w:p>
            <w:pPr>
              <w:pStyle w:val="TableContents"/>
              <w:bidi w:val="0"/>
              <w:spacing w:before="0" w:after="283"/>
              <w:jc w:val="left"/>
              <w:rPr/>
            </w:pPr>
            <w:r>
              <w:rPr/>
              <w:t>as a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3083"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3083"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sz w:val="20"/>
              </w:rPr>
            </w:pPr>
            <w:r>
              <w:rPr>
                <w:sz w:val="20"/>
              </w:rPr>
              <w:t xml:space="preserve">By: </w:t>
            </w:r>
          </w:p>
        </w:tc>
        <w:tc>
          <w:tcPr>
            <w:tcW w:w="3083" w:type="dxa"/>
            <w:gridSpan w:val="2"/>
            <w:tcBorders>
              <w:bottom w:val="single" w:sz="12" w:space="0" w:color="000000"/>
            </w:tcBorders>
            <w:tcMar>
              <w:bottom w:w="28" w:type="dxa"/>
            </w:tcMar>
            <w:vAlign w:val="center"/>
          </w:tcPr>
          <w:p>
            <w:pPr>
              <w:pStyle w:val="TableContents"/>
              <w:bidi w:val="0"/>
              <w:spacing w:before="0" w:after="283"/>
              <w:jc w:val="left"/>
              <w:rPr/>
            </w:pPr>
            <w:r>
              <w:rPr/>
              <w:t>/s/ Nicholas Merino</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Name:</w:t>
            </w:r>
          </w:p>
        </w:tc>
        <w:tc>
          <w:tcPr>
            <w:tcW w:w="2438" w:type="dxa"/>
            <w:tcBorders/>
            <w:vAlign w:val="center"/>
          </w:tcPr>
          <w:p>
            <w:pPr>
              <w:pStyle w:val="TableContents"/>
              <w:bidi w:val="0"/>
              <w:spacing w:before="0" w:after="283"/>
              <w:jc w:val="left"/>
              <w:rPr/>
            </w:pPr>
            <w:r>
              <w:rPr/>
              <w:t>Nicholas Merino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Title: </w:t>
            </w:r>
          </w:p>
        </w:tc>
        <w:tc>
          <w:tcPr>
            <w:tcW w:w="2438"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Illumina, Inc. Credit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75"/>
        <w:gridCol w:w="491"/>
        <w:gridCol w:w="733"/>
        <w:gridCol w:w="1824"/>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048" w:type="dxa"/>
            <w:gridSpan w:val="3"/>
            <w:tcBorders/>
            <w:vAlign w:val="center"/>
          </w:tcPr>
          <w:p>
            <w:pPr>
              <w:pStyle w:val="TableContents"/>
              <w:bidi w:val="0"/>
              <w:spacing w:before="0" w:after="283"/>
              <w:jc w:val="left"/>
              <w:rPr>
                <w:sz w:val="20"/>
              </w:rPr>
            </w:pPr>
            <w:r>
              <w:rPr>
                <w:sz w:val="20"/>
              </w:rPr>
              <w:t>ING BANK N.V., DUBLIN BRANCH,</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pPr>
            <w:r>
              <w:rPr/>
              <w:t>as a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255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2557"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sz w:val="20"/>
              </w:rPr>
            </w:pPr>
            <w:r>
              <w:rPr>
                <w:sz w:val="20"/>
              </w:rPr>
              <w:t xml:space="preserve">By: </w:t>
            </w:r>
          </w:p>
        </w:tc>
        <w:tc>
          <w:tcPr>
            <w:tcW w:w="2557" w:type="dxa"/>
            <w:gridSpan w:val="2"/>
            <w:tcBorders>
              <w:bottom w:val="single" w:sz="12" w:space="0" w:color="000000"/>
            </w:tcBorders>
            <w:tcMar>
              <w:bottom w:w="28" w:type="dxa"/>
            </w:tcMar>
            <w:vAlign w:val="center"/>
          </w:tcPr>
          <w:p>
            <w:pPr>
              <w:pStyle w:val="TableContents"/>
              <w:bidi w:val="0"/>
              <w:spacing w:before="0" w:after="283"/>
              <w:jc w:val="left"/>
              <w:rPr/>
            </w:pPr>
            <w:r>
              <w:rPr/>
              <w:t>/s/ Ciaran Dunne</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sz w:val="20"/>
              </w:rPr>
            </w:pPr>
            <w:r>
              <w:rPr>
                <w:sz w:val="20"/>
              </w:rPr>
              <w:t>Name:</w:t>
            </w:r>
          </w:p>
        </w:tc>
        <w:tc>
          <w:tcPr>
            <w:tcW w:w="1824" w:type="dxa"/>
            <w:tcBorders/>
            <w:vAlign w:val="center"/>
          </w:tcPr>
          <w:p>
            <w:pPr>
              <w:pStyle w:val="TableContents"/>
              <w:bidi w:val="0"/>
              <w:spacing w:before="0" w:after="283"/>
              <w:jc w:val="left"/>
              <w:rPr/>
            </w:pPr>
            <w:r>
              <w:rPr/>
              <w:t>Ciaran Dunne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sz w:val="20"/>
              </w:rPr>
            </w:pPr>
            <w:r>
              <w:rPr>
                <w:sz w:val="20"/>
              </w:rPr>
              <w:t>Title: </w:t>
            </w:r>
          </w:p>
        </w:tc>
        <w:tc>
          <w:tcPr>
            <w:tcW w:w="1824"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45" w:type="dxa"/>
        <w:jc w:val="left"/>
        <w:tblInd w:w="0" w:type="dxa"/>
        <w:tblLayout w:type="fixed"/>
        <w:tblCellMar>
          <w:top w:w="0" w:type="dxa"/>
          <w:left w:w="0" w:type="dxa"/>
          <w:bottom w:w="0" w:type="dxa"/>
          <w:right w:w="0" w:type="dxa"/>
        </w:tblCellMar>
      </w:tblPr>
      <w:tblGrid>
        <w:gridCol w:w="75"/>
        <w:gridCol w:w="365"/>
        <w:gridCol w:w="545"/>
        <w:gridCol w:w="138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1930" w:type="dxa"/>
            <w:gridSpan w:val="2"/>
            <w:tcBorders>
              <w:bottom w:val="single" w:sz="12" w:space="0" w:color="000000"/>
            </w:tcBorders>
            <w:tcMar>
              <w:bottom w:w="28" w:type="dxa"/>
            </w:tcMar>
            <w:vAlign w:val="center"/>
          </w:tcPr>
          <w:p>
            <w:pPr>
              <w:pStyle w:val="TableContents"/>
              <w:bidi w:val="0"/>
              <w:spacing w:before="0" w:after="283"/>
              <w:jc w:val="left"/>
              <w:rPr/>
            </w:pPr>
            <w:r>
              <w:rPr/>
              <w:t>/s/ Louise Gough</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385" w:type="dxa"/>
            <w:tcBorders/>
            <w:vAlign w:val="center"/>
          </w:tcPr>
          <w:p>
            <w:pPr>
              <w:pStyle w:val="TableContents"/>
              <w:bidi w:val="0"/>
              <w:spacing w:before="0" w:after="283"/>
              <w:jc w:val="left"/>
              <w:rPr/>
            </w:pPr>
            <w:r>
              <w:rPr/>
              <w:t>Louise Gough</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 </w:t>
            </w:r>
          </w:p>
        </w:tc>
        <w:tc>
          <w:tcPr>
            <w:tcW w:w="1385"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Illumina, Inc. Credit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80" w:type="dxa"/>
        <w:jc w:val="left"/>
        <w:tblInd w:w="0" w:type="dxa"/>
        <w:tblLayout w:type="fixed"/>
        <w:tblCellMar>
          <w:top w:w="0" w:type="dxa"/>
          <w:left w:w="0" w:type="dxa"/>
          <w:bottom w:w="0" w:type="dxa"/>
          <w:right w:w="0" w:type="dxa"/>
        </w:tblCellMar>
      </w:tblPr>
      <w:tblGrid>
        <w:gridCol w:w="75"/>
        <w:gridCol w:w="365"/>
        <w:gridCol w:w="545"/>
        <w:gridCol w:w="182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pPr>
            <w:r>
              <w:rPr/>
              <w:t>MIZUHO BANK,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30" w:type="dxa"/>
            <w:gridSpan w:val="3"/>
            <w:tcBorders/>
            <w:vAlign w:val="center"/>
          </w:tcPr>
          <w:p>
            <w:pPr>
              <w:pStyle w:val="TableContents"/>
              <w:bidi w:val="0"/>
              <w:spacing w:before="0" w:after="283"/>
              <w:jc w:val="left"/>
              <w:rPr/>
            </w:pPr>
            <w:r>
              <w:rPr/>
              <w:t>as a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236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Edward Sacks</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20" w:type="dxa"/>
            <w:tcBorders/>
            <w:vAlign w:val="center"/>
          </w:tcPr>
          <w:p>
            <w:pPr>
              <w:pStyle w:val="TableContents"/>
              <w:bidi w:val="0"/>
              <w:spacing w:before="0" w:after="283"/>
              <w:jc w:val="left"/>
              <w:rPr/>
            </w:pPr>
            <w:r>
              <w:rPr/>
              <w:t>Edward Sacks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 </w:t>
            </w:r>
          </w:p>
        </w:tc>
        <w:tc>
          <w:tcPr>
            <w:tcW w:w="1820"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Illumina, Inc. Credit Agreement</w:t>
      </w:r>
    </w:p>
    <w:p>
      <w:pPr>
        <w:pStyle w:val="TextBody"/>
        <w:bidi w:val="0"/>
        <w:spacing w:before="0" w:after="0"/>
        <w:ind w:left="43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320" w:right="0" w:hanging="0"/>
        <w:jc w:val="left"/>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75"/>
        <w:gridCol w:w="385"/>
        <w:gridCol w:w="575"/>
        <w:gridCol w:w="1938"/>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2898" w:type="dxa"/>
            <w:gridSpan w:val="3"/>
            <w:tcBorders/>
            <w:vAlign w:val="center"/>
          </w:tcPr>
          <w:p>
            <w:pPr>
              <w:pStyle w:val="TableContents"/>
              <w:bidi w:val="0"/>
              <w:spacing w:before="0" w:after="283"/>
              <w:jc w:val="left"/>
              <w:rPr>
                <w:sz w:val="20"/>
              </w:rPr>
            </w:pPr>
            <w:r>
              <w:rPr>
                <w:sz w:val="20"/>
              </w:rPr>
              <w:t>STANDARD CHARTERED BANK,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98" w:type="dxa"/>
            <w:gridSpan w:val="3"/>
            <w:tcBorders/>
            <w:vAlign w:val="center"/>
          </w:tcPr>
          <w:p>
            <w:pPr>
              <w:pStyle w:val="TableContents"/>
              <w:bidi w:val="0"/>
              <w:spacing w:before="0" w:after="283"/>
              <w:jc w:val="left"/>
              <w:rPr/>
            </w:pPr>
            <w:r>
              <w:rPr/>
              <w:t>as a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2513"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2513"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 xml:space="preserve">By: </w:t>
            </w:r>
          </w:p>
        </w:tc>
        <w:tc>
          <w:tcPr>
            <w:tcW w:w="2513" w:type="dxa"/>
            <w:gridSpan w:val="2"/>
            <w:tcBorders>
              <w:bottom w:val="single" w:sz="12" w:space="0" w:color="000000"/>
            </w:tcBorders>
            <w:tcMar>
              <w:bottom w:w="28" w:type="dxa"/>
            </w:tcMar>
            <w:vAlign w:val="center"/>
          </w:tcPr>
          <w:p>
            <w:pPr>
              <w:pStyle w:val="TableContents"/>
              <w:bidi w:val="0"/>
              <w:spacing w:before="0" w:after="283"/>
              <w:jc w:val="left"/>
              <w:rPr/>
            </w:pPr>
            <w:r>
              <w:rPr/>
              <w:t>/s/ Kathleen Alpg</w:t>
            </w:r>
            <w:r>
              <w:rPr>
                <w:rFonts w:ascii="Times New Roman;Times;Serif" w:hAnsi="Times New Roman;Times;Serif"/>
              </w:rPr>
              <w:t>ü</w:t>
            </w:r>
            <w:r>
              <w:rPr/>
              <w:t>ner</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20"/>
              </w:rPr>
            </w:pPr>
            <w:r>
              <w:rPr>
                <w:sz w:val="20"/>
              </w:rPr>
              <w:t>Name:</w:t>
            </w:r>
          </w:p>
        </w:tc>
        <w:tc>
          <w:tcPr>
            <w:tcW w:w="1938" w:type="dxa"/>
            <w:tcBorders/>
            <w:vAlign w:val="center"/>
          </w:tcPr>
          <w:p>
            <w:pPr>
              <w:pStyle w:val="TableContents"/>
              <w:bidi w:val="0"/>
              <w:spacing w:before="0" w:after="283"/>
              <w:jc w:val="left"/>
              <w:rPr/>
            </w:pPr>
            <w:r>
              <w:rPr/>
              <w:t>Kathleen Alpg</w:t>
            </w:r>
            <w:r>
              <w:rPr>
                <w:rFonts w:ascii="Times New Roman;Times;Serif" w:hAnsi="Times New Roman;Times;Serif"/>
              </w:rPr>
              <w:t>ü</w:t>
            </w:r>
            <w:r>
              <w:rPr/>
              <w: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20"/>
              </w:rPr>
            </w:pPr>
            <w:r>
              <w:rPr>
                <w:sz w:val="20"/>
              </w:rPr>
              <w:t>Title: </w:t>
            </w:r>
          </w:p>
        </w:tc>
        <w:tc>
          <w:tcPr>
            <w:tcW w:w="1938" w:type="dxa"/>
            <w:tcBorders/>
            <w:vAlign w:val="center"/>
          </w:tcPr>
          <w:p>
            <w:pPr>
              <w:pStyle w:val="TableContents"/>
              <w:bidi w:val="0"/>
              <w:spacing w:before="0" w:after="283"/>
              <w:jc w:val="left"/>
              <w:rPr/>
            </w:pPr>
            <w:r>
              <w:rPr/>
              <w:t>Executive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Illumina, Inc. Credit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320" w:right="0" w:hanging="0"/>
        <w:jc w:val="left"/>
        <w:rPr>
          <w:caps w:val="false"/>
          <w:smallCaps w:val="false"/>
        </w:rPr>
      </w:pPr>
      <w:r>
        <w:rPr>
          <w:caps w:val="false"/>
          <w:smallCaps w:val="false"/>
        </w:rPr>
        <w:t> </w:t>
      </w:r>
    </w:p>
    <w:tbl>
      <w:tblPr>
        <w:tblW w:w="3454" w:type="dxa"/>
        <w:jc w:val="left"/>
        <w:tblInd w:w="0" w:type="dxa"/>
        <w:tblLayout w:type="fixed"/>
        <w:tblCellMar>
          <w:top w:w="0" w:type="dxa"/>
          <w:left w:w="0" w:type="dxa"/>
          <w:bottom w:w="0" w:type="dxa"/>
          <w:right w:w="0" w:type="dxa"/>
        </w:tblCellMar>
      </w:tblPr>
      <w:tblGrid>
        <w:gridCol w:w="75"/>
        <w:gridCol w:w="374"/>
        <w:gridCol w:w="558"/>
        <w:gridCol w:w="2372"/>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304" w:type="dxa"/>
            <w:gridSpan w:val="3"/>
            <w:tcBorders/>
            <w:vAlign w:val="center"/>
          </w:tcPr>
          <w:p>
            <w:pPr>
              <w:pStyle w:val="TableContents"/>
              <w:bidi w:val="0"/>
              <w:spacing w:before="0" w:after="283"/>
              <w:jc w:val="left"/>
              <w:rPr>
                <w:sz w:val="20"/>
              </w:rPr>
            </w:pPr>
            <w:r>
              <w:rPr>
                <w:sz w:val="20"/>
              </w:rPr>
              <w:t>U.S. BANK NATIONAL ASSOCIATION,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4" w:type="dxa"/>
            <w:gridSpan w:val="3"/>
            <w:tcBorders/>
            <w:vAlign w:val="center"/>
          </w:tcPr>
          <w:p>
            <w:pPr>
              <w:pStyle w:val="TableContents"/>
              <w:bidi w:val="0"/>
              <w:spacing w:before="0" w:after="283"/>
              <w:jc w:val="left"/>
              <w:rPr/>
            </w:pPr>
            <w:r>
              <w:rPr/>
              <w:t>as a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93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93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20"/>
              </w:rPr>
            </w:pPr>
            <w:r>
              <w:rPr>
                <w:sz w:val="20"/>
              </w:rPr>
              <w:t xml:space="preserve">By: </w:t>
            </w:r>
          </w:p>
        </w:tc>
        <w:tc>
          <w:tcPr>
            <w:tcW w:w="293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Thomas Whitman</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sz w:val="20"/>
              </w:rPr>
            </w:pPr>
            <w:r>
              <w:rPr>
                <w:sz w:val="20"/>
              </w:rPr>
              <w:t>Name:</w:t>
            </w:r>
          </w:p>
        </w:tc>
        <w:tc>
          <w:tcPr>
            <w:tcW w:w="2372" w:type="dxa"/>
            <w:tcBorders/>
            <w:vAlign w:val="center"/>
          </w:tcPr>
          <w:p>
            <w:pPr>
              <w:pStyle w:val="TableContents"/>
              <w:bidi w:val="0"/>
              <w:spacing w:before="0" w:after="283"/>
              <w:jc w:val="left"/>
              <w:rPr/>
            </w:pPr>
            <w:r>
              <w:rPr/>
              <w:t>Thomas Whitman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sz w:val="20"/>
              </w:rPr>
            </w:pPr>
            <w:r>
              <w:rPr>
                <w:sz w:val="20"/>
              </w:rPr>
              <w:t>Title: </w:t>
            </w:r>
          </w:p>
        </w:tc>
        <w:tc>
          <w:tcPr>
            <w:tcW w:w="2372" w:type="dxa"/>
            <w:tcBorders/>
            <w:vAlign w:val="center"/>
          </w:tcPr>
          <w:p>
            <w:pPr>
              <w:pStyle w:val="TableContents"/>
              <w:bidi w:val="0"/>
              <w:spacing w:before="0" w:after="283"/>
              <w:jc w:val="left"/>
              <w:rPr/>
            </w:pPr>
            <w:r>
              <w:rPr/>
              <w:t>Assistant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Illumina, Inc. Credit Agreement</w:t>
      </w:r>
    </w:p>
    <w:p>
      <w:pPr>
        <w:pStyle w:val="TextBody"/>
        <w:bidi w:val="0"/>
        <w:spacing w:before="0" w:after="0"/>
        <w:ind w:left="43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320" w:right="0" w:hanging="0"/>
        <w:jc w:val="left"/>
        <w:rPr>
          <w:caps w:val="false"/>
          <w:smallCaps w:val="false"/>
        </w:rPr>
      </w:pPr>
      <w:r>
        <w:rPr>
          <w:caps w:val="false"/>
          <w:smallCaps w:val="false"/>
        </w:rPr>
        <w:t> </w:t>
      </w:r>
    </w:p>
    <w:tbl>
      <w:tblPr>
        <w:tblW w:w="5014" w:type="dxa"/>
        <w:jc w:val="left"/>
        <w:tblInd w:w="0" w:type="dxa"/>
        <w:tblLayout w:type="fixed"/>
        <w:tblCellMar>
          <w:top w:w="0" w:type="dxa"/>
          <w:left w:w="0" w:type="dxa"/>
          <w:bottom w:w="0" w:type="dxa"/>
          <w:right w:w="0" w:type="dxa"/>
        </w:tblCellMar>
      </w:tblPr>
      <w:tblGrid>
        <w:gridCol w:w="75"/>
        <w:gridCol w:w="543"/>
        <w:gridCol w:w="810"/>
        <w:gridCol w:w="3511"/>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4864" w:type="dxa"/>
            <w:gridSpan w:val="3"/>
            <w:tcBorders/>
            <w:vAlign w:val="center"/>
          </w:tcPr>
          <w:p>
            <w:pPr>
              <w:pStyle w:val="TableContents"/>
              <w:bidi w:val="0"/>
              <w:spacing w:before="0" w:after="283"/>
              <w:jc w:val="left"/>
              <w:rPr/>
            </w:pPr>
            <w:r>
              <w:rPr/>
              <w:t>BANK OF CHINA, LOS ANGELES BRANCH,</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as a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4321"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4321"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sz w:val="20"/>
              </w:rPr>
            </w:pPr>
            <w:r>
              <w:rPr>
                <w:sz w:val="20"/>
              </w:rPr>
              <w:t xml:space="preserve">By: </w:t>
            </w:r>
          </w:p>
        </w:tc>
        <w:tc>
          <w:tcPr>
            <w:tcW w:w="4321"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Peng Li</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sz w:val="20"/>
              </w:rPr>
            </w:pPr>
            <w:r>
              <w:rPr>
                <w:sz w:val="20"/>
              </w:rPr>
              <w:t>Name:</w:t>
            </w:r>
          </w:p>
        </w:tc>
        <w:tc>
          <w:tcPr>
            <w:tcW w:w="3511" w:type="dxa"/>
            <w:tcBorders/>
            <w:vAlign w:val="center"/>
          </w:tcPr>
          <w:p>
            <w:pPr>
              <w:pStyle w:val="TableContents"/>
              <w:bidi w:val="0"/>
              <w:spacing w:before="0" w:after="283"/>
              <w:jc w:val="left"/>
              <w:rPr/>
            </w:pPr>
            <w:r>
              <w:rPr/>
              <w:t>Peng Li</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sz w:val="20"/>
              </w:rPr>
            </w:pPr>
            <w:r>
              <w:rPr>
                <w:sz w:val="20"/>
              </w:rPr>
              <w:t>Title: </w:t>
            </w:r>
          </w:p>
        </w:tc>
        <w:tc>
          <w:tcPr>
            <w:tcW w:w="3511" w:type="dxa"/>
            <w:tcBorders/>
            <w:vAlign w:val="center"/>
          </w:tcPr>
          <w:p>
            <w:pPr>
              <w:pStyle w:val="TableContents"/>
              <w:bidi w:val="0"/>
              <w:spacing w:before="0" w:after="283"/>
              <w:jc w:val="left"/>
              <w:rPr/>
            </w:pPr>
            <w:r>
              <w:rPr/>
              <w:t>SVP &amp; Branch 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Illumina, Inc. Credit Agreement</w:t>
      </w:r>
    </w:p>
    <w:p>
      <w:pPr>
        <w:pStyle w:val="TextBody"/>
        <w:bidi w:val="0"/>
        <w:spacing w:before="0" w:after="0"/>
        <w:ind w:left="43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Exhibits and Schedules Intentionally Omitted</w:t>
      </w:r>
      <w:r>
        <w:rPr>
          <w:rFonts w:ascii="Times New Roman;Times;Serif" w:hAnsi="Times New Roman;Times;Serif"/>
          <w:b w:val="false"/>
          <w:i w:val="false"/>
          <w:caps w:val="false"/>
          <w:smallCaps w:val="false"/>
          <w:sz w:val="20"/>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66666</Words>
  <Characters>351120</Characters>
  <CharactersWithSpaces>419939</CharactersWithSpaces>
  <Paragraphs>2870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