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0001535472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ILLUMINA,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001-35406</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5200 ILLUMINA WAY</w:t>
              <w:br/>
              <w:t>SAN DIEGO</w:t>
              <w:br/>
              <w:t xml:space="preserve">CALIFORNIA </w:t>
              <w:br/>
              <w:t>92122</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8582024500</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Corvex Management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Affiliate of Director (1)</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 par value $0.01 per share</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200000</w:t>
            </w:r>
          </w:p>
        </w:tc>
        <w:tc>
          <w:tcPr>
            <w:tcW w:w="1568" w:type="dxa"/>
            <w:tcBorders/>
            <w:vAlign w:val="center"/>
          </w:tcPr>
          <w:p>
            <w:pPr>
              <w:pStyle w:val="TableContents"/>
              <w:bidi w:val="0"/>
              <w:spacing w:before="0" w:after="283"/>
              <w:jc w:val="left"/>
              <w:rPr/>
            </w:pPr>
            <w:r>
              <w:rPr/>
              <w:t>44968000.00</w:t>
            </w:r>
          </w:p>
        </w:tc>
        <w:tc>
          <w:tcPr>
            <w:tcW w:w="1545" w:type="dxa"/>
            <w:tcBorders/>
            <w:vAlign w:val="center"/>
          </w:tcPr>
          <w:p>
            <w:pPr>
              <w:pStyle w:val="TableContents"/>
              <w:bidi w:val="0"/>
              <w:spacing w:before="0" w:after="283"/>
              <w:jc w:val="left"/>
              <w:rPr/>
            </w:pPr>
            <w:r>
              <w:rPr/>
              <w:t>151000000</w:t>
            </w:r>
          </w:p>
        </w:tc>
        <w:tc>
          <w:tcPr>
            <w:tcW w:w="1563" w:type="dxa"/>
            <w:tcBorders/>
            <w:vAlign w:val="center"/>
          </w:tcPr>
          <w:p>
            <w:pPr>
              <w:pStyle w:val="TableContents"/>
              <w:bidi w:val="0"/>
              <w:spacing w:before="0" w:after="283"/>
              <w:jc w:val="left"/>
              <w:rPr/>
            </w:pPr>
            <w:r>
              <w:rPr/>
              <w:t>08/27/2026</w:t>
            </w:r>
          </w:p>
        </w:tc>
        <w:tc>
          <w:tcPr>
            <w:tcW w:w="137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7"/>
        <w:gridCol w:w="1112"/>
        <w:gridCol w:w="1447"/>
        <w:gridCol w:w="1517"/>
        <w:gridCol w:w="520"/>
        <w:gridCol w:w="1112"/>
        <w:gridCol w:w="1162"/>
        <w:gridCol w:w="1054"/>
        <w:gridCol w:w="1174"/>
      </w:tblGrid>
      <w:tr>
        <w:trPr/>
        <w:tc>
          <w:tcPr>
            <w:tcW w:w="1107" w:type="dxa"/>
            <w:tcBorders/>
            <w:vAlign w:val="center"/>
          </w:tcPr>
          <w:p>
            <w:pPr>
              <w:pStyle w:val="TableHeading"/>
              <w:suppressLineNumbers/>
              <w:bidi w:val="0"/>
              <w:spacing w:before="0" w:after="283"/>
              <w:jc w:val="center"/>
              <w:rPr/>
            </w:pPr>
            <w:r>
              <w:rPr/>
              <w:t>Title of the Class</w:t>
            </w:r>
          </w:p>
        </w:tc>
        <w:tc>
          <w:tcPr>
            <w:tcW w:w="1112" w:type="dxa"/>
            <w:tcBorders/>
            <w:vAlign w:val="center"/>
          </w:tcPr>
          <w:p>
            <w:pPr>
              <w:pStyle w:val="TableHeading"/>
              <w:suppressLineNumbers/>
              <w:bidi w:val="0"/>
              <w:spacing w:before="0" w:after="283"/>
              <w:jc w:val="center"/>
              <w:rPr/>
            </w:pPr>
            <w:r>
              <w:rPr/>
              <w:t>Date you Acquired</w:t>
            </w:r>
          </w:p>
        </w:tc>
        <w:tc>
          <w:tcPr>
            <w:tcW w:w="1447" w:type="dxa"/>
            <w:tcBorders/>
            <w:vAlign w:val="center"/>
          </w:tcPr>
          <w:p>
            <w:pPr>
              <w:pStyle w:val="TableHeading"/>
              <w:suppressLineNumbers/>
              <w:bidi w:val="0"/>
              <w:spacing w:before="0" w:after="283"/>
              <w:jc w:val="center"/>
              <w:rPr/>
            </w:pPr>
            <w:r>
              <w:rPr/>
              <w:t>Nature of Acquisition Transaction</w:t>
            </w:r>
          </w:p>
        </w:tc>
        <w:tc>
          <w:tcPr>
            <w:tcW w:w="1517"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2" w:type="dxa"/>
            <w:tcBorders/>
            <w:vAlign w:val="center"/>
          </w:tcPr>
          <w:p>
            <w:pPr>
              <w:pStyle w:val="TableHeading"/>
              <w:suppressLineNumbers/>
              <w:bidi w:val="0"/>
              <w:spacing w:before="0" w:after="283"/>
              <w:jc w:val="center"/>
              <w:rPr/>
            </w:pPr>
            <w:r>
              <w:rPr/>
              <w:t>Date Donor Acquired</w:t>
            </w:r>
          </w:p>
        </w:tc>
        <w:tc>
          <w:tcPr>
            <w:tcW w:w="1162"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17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7" w:type="dxa"/>
            <w:tcBorders/>
            <w:vAlign w:val="center"/>
          </w:tcPr>
          <w:p>
            <w:pPr>
              <w:pStyle w:val="TableContents"/>
              <w:bidi w:val="0"/>
              <w:spacing w:before="0" w:after="283"/>
              <w:jc w:val="left"/>
              <w:rPr/>
            </w:pPr>
            <w:r>
              <w:rPr/>
              <w:t>Common Stock, par value $0.01 per share</w:t>
            </w:r>
          </w:p>
        </w:tc>
        <w:tc>
          <w:tcPr>
            <w:tcW w:w="1112" w:type="dxa"/>
            <w:tcBorders/>
            <w:vAlign w:val="center"/>
          </w:tcPr>
          <w:p>
            <w:pPr>
              <w:pStyle w:val="TableContents"/>
              <w:bidi w:val="0"/>
              <w:spacing w:before="0" w:after="283"/>
              <w:jc w:val="left"/>
              <w:rPr/>
            </w:pPr>
            <w:r>
              <w:rPr/>
              <w:t>10/25/2023</w:t>
            </w:r>
          </w:p>
        </w:tc>
        <w:tc>
          <w:tcPr>
            <w:tcW w:w="1447" w:type="dxa"/>
            <w:tcBorders/>
            <w:vAlign w:val="center"/>
          </w:tcPr>
          <w:p>
            <w:pPr>
              <w:pStyle w:val="TableContents"/>
              <w:bidi w:val="0"/>
              <w:spacing w:before="0" w:after="283"/>
              <w:jc w:val="left"/>
              <w:rPr/>
            </w:pPr>
            <w:r>
              <w:rPr/>
              <w:t>Purchases of shares of Common Stock in the open market (2)</w:t>
            </w:r>
          </w:p>
        </w:tc>
        <w:tc>
          <w:tcPr>
            <w:tcW w:w="1517" w:type="dxa"/>
            <w:tcBorders/>
            <w:vAlign w:val="center"/>
          </w:tcPr>
          <w:p>
            <w:pPr>
              <w:pStyle w:val="TableContents"/>
              <w:bidi w:val="0"/>
              <w:spacing w:before="0" w:after="283"/>
              <w:jc w:val="left"/>
              <w:rPr/>
            </w:pPr>
            <w:r>
              <w:rPr/>
              <w:t>Purchases from counterparties in open market transactions</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pPr>
            <w:r>
              <w:rPr/>
              <w:t>200000</w:t>
            </w:r>
          </w:p>
        </w:tc>
        <w:tc>
          <w:tcPr>
            <w:tcW w:w="1054" w:type="dxa"/>
            <w:tcBorders/>
            <w:vAlign w:val="center"/>
          </w:tcPr>
          <w:p>
            <w:pPr>
              <w:pStyle w:val="TableContents"/>
              <w:bidi w:val="0"/>
              <w:spacing w:before="0" w:after="283"/>
              <w:jc w:val="left"/>
              <w:rPr/>
            </w:pPr>
            <w:r>
              <w:rPr/>
              <w:t>10/25/2023</w:t>
            </w:r>
          </w:p>
        </w:tc>
        <w:tc>
          <w:tcPr>
            <w:tcW w:w="117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9"/>
        <w:gridCol w:w="922"/>
        <w:gridCol w:w="1531"/>
        <w:gridCol w:w="1897"/>
      </w:tblGrid>
      <w:tr>
        <w:trPr/>
        <w:tc>
          <w:tcPr>
            <w:tcW w:w="3026" w:type="dxa"/>
            <w:tcBorders/>
            <w:vAlign w:val="center"/>
          </w:tcPr>
          <w:p>
            <w:pPr>
              <w:pStyle w:val="TableHeading"/>
              <w:suppressLineNumbers/>
              <w:bidi w:val="0"/>
              <w:spacing w:before="0" w:after="283"/>
              <w:jc w:val="center"/>
              <w:rPr/>
            </w:pPr>
            <w:r>
              <w:rPr/>
              <w:t>Name and Address of Seller</w:t>
            </w:r>
          </w:p>
        </w:tc>
        <w:tc>
          <w:tcPr>
            <w:tcW w:w="2829"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7"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220000</w:t>
            </w:r>
          </w:p>
        </w:tc>
        <w:tc>
          <w:tcPr>
            <w:tcW w:w="1897" w:type="dxa"/>
            <w:tcBorders/>
            <w:vAlign w:val="center"/>
          </w:tcPr>
          <w:p>
            <w:pPr>
              <w:pStyle w:val="TableContents"/>
              <w:bidi w:val="0"/>
              <w:spacing w:before="0" w:after="283"/>
              <w:jc w:val="left"/>
              <w:rPr/>
            </w:pPr>
            <w:r>
              <w:rPr/>
              <w:t>34686783.32</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05/29/2026</w:t>
            </w:r>
          </w:p>
        </w:tc>
        <w:tc>
          <w:tcPr>
            <w:tcW w:w="1531" w:type="dxa"/>
            <w:tcBorders/>
            <w:vAlign w:val="center"/>
          </w:tcPr>
          <w:p>
            <w:pPr>
              <w:pStyle w:val="TableContents"/>
              <w:bidi w:val="0"/>
              <w:spacing w:before="0" w:after="283"/>
              <w:jc w:val="left"/>
              <w:rPr/>
            </w:pPr>
            <w:r>
              <w:rPr/>
              <w:t>214596</w:t>
            </w:r>
          </w:p>
        </w:tc>
        <w:tc>
          <w:tcPr>
            <w:tcW w:w="1897" w:type="dxa"/>
            <w:tcBorders/>
            <w:vAlign w:val="center"/>
          </w:tcPr>
          <w:p>
            <w:pPr>
              <w:pStyle w:val="TableContents"/>
              <w:bidi w:val="0"/>
              <w:spacing w:before="0" w:after="283"/>
              <w:jc w:val="left"/>
              <w:rPr/>
            </w:pPr>
            <w:r>
              <w:rPr/>
              <w:t>35088672.43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06/01/2026</w:t>
            </w:r>
          </w:p>
        </w:tc>
        <w:tc>
          <w:tcPr>
            <w:tcW w:w="1531" w:type="dxa"/>
            <w:tcBorders/>
            <w:vAlign w:val="center"/>
          </w:tcPr>
          <w:p>
            <w:pPr>
              <w:pStyle w:val="TableContents"/>
              <w:bidi w:val="0"/>
              <w:spacing w:before="0" w:after="283"/>
              <w:jc w:val="left"/>
              <w:rPr/>
            </w:pPr>
            <w:r>
              <w:rPr/>
              <w:t>235000</w:t>
            </w:r>
          </w:p>
        </w:tc>
        <w:tc>
          <w:tcPr>
            <w:tcW w:w="1897" w:type="dxa"/>
            <w:tcBorders/>
            <w:vAlign w:val="center"/>
          </w:tcPr>
          <w:p>
            <w:pPr>
              <w:pStyle w:val="TableContents"/>
              <w:bidi w:val="0"/>
              <w:spacing w:before="0" w:after="283"/>
              <w:jc w:val="left"/>
              <w:rPr/>
            </w:pPr>
            <w:r>
              <w:rPr/>
              <w:t>38454606.87</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08/04/2026</w:t>
            </w:r>
          </w:p>
        </w:tc>
        <w:tc>
          <w:tcPr>
            <w:tcW w:w="1531" w:type="dxa"/>
            <w:tcBorders/>
            <w:vAlign w:val="center"/>
          </w:tcPr>
          <w:p>
            <w:pPr>
              <w:pStyle w:val="TableContents"/>
              <w:bidi w:val="0"/>
              <w:spacing w:before="0" w:after="283"/>
              <w:jc w:val="left"/>
              <w:rPr/>
            </w:pPr>
            <w:r>
              <w:rPr/>
              <w:t>457858</w:t>
            </w:r>
          </w:p>
        </w:tc>
        <w:tc>
          <w:tcPr>
            <w:tcW w:w="1897" w:type="dxa"/>
            <w:tcBorders/>
            <w:vAlign w:val="center"/>
          </w:tcPr>
          <w:p>
            <w:pPr>
              <w:pStyle w:val="TableContents"/>
              <w:bidi w:val="0"/>
              <w:spacing w:before="0" w:after="283"/>
              <w:jc w:val="left"/>
              <w:rPr/>
            </w:pPr>
            <w:r>
              <w:rPr/>
              <w:t>91616949.73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283269</w:t>
            </w:r>
          </w:p>
        </w:tc>
        <w:tc>
          <w:tcPr>
            <w:tcW w:w="1897" w:type="dxa"/>
            <w:tcBorders/>
            <w:vAlign w:val="center"/>
          </w:tcPr>
          <w:p>
            <w:pPr>
              <w:pStyle w:val="TableContents"/>
              <w:bidi w:val="0"/>
              <w:spacing w:before="0" w:after="283"/>
              <w:jc w:val="left"/>
              <w:rPr/>
            </w:pPr>
            <w:r>
              <w:rPr/>
              <w:t>56542873.94</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95000</w:t>
            </w:r>
          </w:p>
        </w:tc>
        <w:tc>
          <w:tcPr>
            <w:tcW w:w="1897" w:type="dxa"/>
            <w:tcBorders/>
            <w:vAlign w:val="center"/>
          </w:tcPr>
          <w:p>
            <w:pPr>
              <w:pStyle w:val="TableContents"/>
              <w:bidi w:val="0"/>
              <w:spacing w:before="0" w:after="283"/>
              <w:jc w:val="left"/>
              <w:rPr/>
            </w:pPr>
            <w:r>
              <w:rPr/>
              <w:t>19312857.70</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285238</w:t>
            </w:r>
          </w:p>
        </w:tc>
        <w:tc>
          <w:tcPr>
            <w:tcW w:w="1897" w:type="dxa"/>
            <w:tcBorders/>
            <w:vAlign w:val="center"/>
          </w:tcPr>
          <w:p>
            <w:pPr>
              <w:pStyle w:val="TableContents"/>
              <w:bidi w:val="0"/>
              <w:spacing w:before="0" w:after="283"/>
              <w:jc w:val="left"/>
              <w:rPr/>
            </w:pPr>
            <w:r>
              <w:rPr/>
              <w:t>60999944.21</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299336</w:t>
            </w:r>
          </w:p>
        </w:tc>
        <w:tc>
          <w:tcPr>
            <w:tcW w:w="1897" w:type="dxa"/>
            <w:tcBorders/>
            <w:vAlign w:val="center"/>
          </w:tcPr>
          <w:p>
            <w:pPr>
              <w:pStyle w:val="TableContents"/>
              <w:bidi w:val="0"/>
              <w:spacing w:before="0" w:after="283"/>
              <w:jc w:val="left"/>
              <w:rPr/>
            </w:pPr>
            <w:r>
              <w:rPr/>
              <w:t>65242566.35</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131019</w:t>
            </w:r>
          </w:p>
        </w:tc>
        <w:tc>
          <w:tcPr>
            <w:tcW w:w="1897" w:type="dxa"/>
            <w:tcBorders/>
            <w:vAlign w:val="center"/>
          </w:tcPr>
          <w:p>
            <w:pPr>
              <w:pStyle w:val="TableContents"/>
              <w:bidi w:val="0"/>
              <w:spacing w:before="0" w:after="283"/>
              <w:jc w:val="left"/>
              <w:rPr/>
            </w:pPr>
            <w:r>
              <w:rPr/>
              <w:t>29546278.62</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08/26/2026</w:t>
            </w:r>
          </w:p>
        </w:tc>
        <w:tc>
          <w:tcPr>
            <w:tcW w:w="1531" w:type="dxa"/>
            <w:tcBorders/>
            <w:vAlign w:val="center"/>
          </w:tcPr>
          <w:p>
            <w:pPr>
              <w:pStyle w:val="TableContents"/>
              <w:bidi w:val="0"/>
              <w:spacing w:before="0" w:after="283"/>
              <w:jc w:val="left"/>
              <w:rPr/>
            </w:pPr>
            <w:r>
              <w:rPr/>
              <w:t>106543</w:t>
            </w:r>
          </w:p>
        </w:tc>
        <w:tc>
          <w:tcPr>
            <w:tcW w:w="1897" w:type="dxa"/>
            <w:tcBorders/>
            <w:vAlign w:val="center"/>
          </w:tcPr>
          <w:p>
            <w:pPr>
              <w:pStyle w:val="TableContents"/>
              <w:bidi w:val="0"/>
              <w:spacing w:before="0" w:after="283"/>
              <w:jc w:val="left"/>
              <w:rPr/>
            </w:pPr>
            <w:r>
              <w:rPr/>
              <w:t>24021480.44</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08/27/2026</w:t>
            </w:r>
          </w:p>
        </w:tc>
        <w:tc>
          <w:tcPr>
            <w:tcW w:w="1531" w:type="dxa"/>
            <w:tcBorders/>
            <w:vAlign w:val="center"/>
          </w:tcPr>
          <w:p>
            <w:pPr>
              <w:pStyle w:val="TableContents"/>
              <w:bidi w:val="0"/>
              <w:spacing w:before="0" w:after="283"/>
              <w:jc w:val="left"/>
              <w:rPr/>
            </w:pPr>
            <w:r>
              <w:rPr/>
              <w:t>82438</w:t>
            </w:r>
          </w:p>
        </w:tc>
        <w:tc>
          <w:tcPr>
            <w:tcW w:w="1897" w:type="dxa"/>
            <w:tcBorders/>
            <w:vAlign w:val="center"/>
          </w:tcPr>
          <w:p>
            <w:pPr>
              <w:pStyle w:val="TableContents"/>
              <w:bidi w:val="0"/>
              <w:spacing w:before="0" w:after="283"/>
              <w:jc w:val="left"/>
              <w:rPr/>
            </w:pPr>
            <w:r>
              <w:rPr/>
              <w:t>18901434.68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31"/>
        <w:gridCol w:w="9074"/>
      </w:tblGrid>
      <w:tr>
        <w:trPr/>
        <w:tc>
          <w:tcPr>
            <w:tcW w:w="1131" w:type="dxa"/>
            <w:tcBorders/>
            <w:vAlign w:val="center"/>
          </w:tcPr>
          <w:p>
            <w:pPr>
              <w:pStyle w:val="TableContents"/>
              <w:bidi w:val="0"/>
              <w:spacing w:before="0" w:after="283"/>
              <w:jc w:val="left"/>
              <w:rPr/>
            </w:pPr>
            <w:r>
              <w:rPr/>
              <w:t>Remarks</w:t>
            </w:r>
          </w:p>
        </w:tc>
        <w:tc>
          <w:tcPr>
            <w:tcW w:w="9074" w:type="dxa"/>
            <w:tcBorders/>
            <w:vAlign w:val="center"/>
          </w:tcPr>
          <w:p>
            <w:pPr>
              <w:pStyle w:val="TableContents"/>
              <w:bidi w:val="0"/>
              <w:spacing w:before="0" w:after="0"/>
              <w:jc w:val="left"/>
              <w:rPr/>
            </w:pPr>
            <w:r>
              <w:rPr/>
              <w:t>1. Corvex Management LP (Corvex) may be deemed to be the beneficial owner of shares of Common Stock (Common Stock) of Illumina, Inc. (the Issuer) held by one or more funds for which Corvex serves as investment adviser. The general partner of Corvex is controlled by Keith Meister, who serves as a director on the Board of Directors of the Issuer. 2. Shares of Common Stock to be sold were purchased between October 25, 2023 and March 27, 2025 in various open market transactions.</w:t>
            </w:r>
          </w:p>
        </w:tc>
      </w:tr>
      <w:tr>
        <w:trPr/>
        <w:tc>
          <w:tcPr>
            <w:tcW w:w="1131" w:type="dxa"/>
            <w:tcBorders/>
            <w:vAlign w:val="center"/>
          </w:tcPr>
          <w:p>
            <w:pPr>
              <w:pStyle w:val="TableContents"/>
              <w:bidi w:val="0"/>
              <w:spacing w:before="0" w:after="283"/>
              <w:jc w:val="left"/>
              <w:rPr/>
            </w:pPr>
            <w:r>
              <w:rPr/>
              <w:t>Date of Notice</w:t>
            </w:r>
          </w:p>
        </w:tc>
        <w:tc>
          <w:tcPr>
            <w:tcW w:w="9074"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31" w:type="dxa"/>
            <w:tcBorders/>
            <w:vAlign w:val="center"/>
          </w:tcPr>
          <w:p>
            <w:pPr>
              <w:pStyle w:val="TableContents"/>
              <w:bidi w:val="0"/>
              <w:spacing w:before="0" w:after="283"/>
              <w:jc w:val="left"/>
              <w:rPr/>
            </w:pPr>
            <w:r>
              <w:rPr/>
              <w:t>Signature</w:t>
            </w:r>
          </w:p>
        </w:tc>
        <w:tc>
          <w:tcPr>
            <w:tcW w:w="9074" w:type="dxa"/>
            <w:tcBorders/>
            <w:vAlign w:val="center"/>
          </w:tcPr>
          <w:p>
            <w:pPr>
              <w:pStyle w:val="TableContents"/>
              <w:bidi w:val="0"/>
              <w:spacing w:before="0" w:after="0"/>
              <w:jc w:val="left"/>
              <w:rPr/>
            </w:pPr>
            <w:r>
              <w:rPr/>
              <w:t>/s/ Patrick Dooley, authorized signatory of Corvex Management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4745</Characters>
  <CharactersWithSpaces>5613</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